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83F583" w14:textId="5EA7CFBB" w:rsidR="00E91465" w:rsidRPr="00590996" w:rsidRDefault="00E91465" w:rsidP="003748BF">
      <w:pPr>
        <w:spacing w:before="120" w:after="120" w:line="240" w:lineRule="auto"/>
        <w:jc w:val="both"/>
        <w:rPr>
          <w:sz w:val="28"/>
          <w:szCs w:val="28"/>
        </w:rPr>
      </w:pPr>
      <w:bookmarkStart w:id="0" w:name="_GoBack"/>
      <w:r w:rsidRPr="00590996">
        <w:rPr>
          <w:rFonts w:hint="eastAsia"/>
        </w:rPr>
        <w:t>Supporting Information</w:t>
      </w:r>
      <w:r w:rsidR="00AC2F0E" w:rsidRPr="00590996">
        <w:t xml:space="preserve"> for</w:t>
      </w:r>
    </w:p>
    <w:p w14:paraId="439DC593" w14:textId="77777777" w:rsidR="003748BF" w:rsidRPr="00590996" w:rsidRDefault="003748BF" w:rsidP="003748BF">
      <w:pPr>
        <w:spacing w:before="120" w:after="120" w:line="240" w:lineRule="auto"/>
        <w:rPr>
          <w:b/>
          <w:sz w:val="28"/>
          <w:szCs w:val="28"/>
        </w:rPr>
      </w:pPr>
      <w:r w:rsidRPr="00590996">
        <w:rPr>
          <w:b/>
          <w:sz w:val="28"/>
          <w:szCs w:val="28"/>
        </w:rPr>
        <w:t>Biomimetic PD-1-Functionalized Immunostimulatory Nanomedicine Enables STING Activation and Durable Antitumor Immunity in Hepatocellular Carcinoma</w:t>
      </w:r>
    </w:p>
    <w:p w14:paraId="16B161E9" w14:textId="77777777" w:rsidR="003748BF" w:rsidRPr="00590996" w:rsidRDefault="003748BF" w:rsidP="003748BF">
      <w:pPr>
        <w:spacing w:before="120" w:after="120" w:line="240" w:lineRule="auto"/>
      </w:pPr>
      <w:bookmarkStart w:id="1" w:name="OLE_LINK5"/>
      <w:r w:rsidRPr="00590996">
        <w:rPr>
          <w:rFonts w:hint="eastAsia"/>
        </w:rPr>
        <w:t>Yanbing Cao</w:t>
      </w:r>
      <w:r w:rsidRPr="00590996">
        <w:rPr>
          <w:rFonts w:cs="Times New Roman"/>
          <w:vertAlign w:val="superscript"/>
        </w:rPr>
        <w:t>1,</w:t>
      </w:r>
      <w:r w:rsidRPr="00590996">
        <w:rPr>
          <w:rFonts w:cs="Times New Roman" w:hint="eastAsia"/>
          <w:vertAlign w:val="superscript"/>
        </w:rPr>
        <w:t>3</w:t>
      </w:r>
      <w:r w:rsidRPr="00590996">
        <w:rPr>
          <w:rFonts w:cs="Times New Roman"/>
          <w:vertAlign w:val="superscript"/>
        </w:rPr>
        <w:t>#</w:t>
      </w:r>
      <w:r w:rsidRPr="00590996">
        <w:rPr>
          <w:rFonts w:hint="eastAsia"/>
        </w:rPr>
        <w:t>, Xinyi Lin</w:t>
      </w:r>
      <w:r w:rsidRPr="00590996">
        <w:rPr>
          <w:rFonts w:cs="Times New Roman"/>
          <w:vertAlign w:val="superscript"/>
        </w:rPr>
        <w:t>1,</w:t>
      </w:r>
      <w:r w:rsidRPr="00590996">
        <w:rPr>
          <w:rFonts w:cs="Times New Roman" w:hint="eastAsia"/>
          <w:vertAlign w:val="superscript"/>
        </w:rPr>
        <w:t>3</w:t>
      </w:r>
      <w:r w:rsidRPr="00590996">
        <w:rPr>
          <w:rFonts w:cs="Times New Roman"/>
          <w:vertAlign w:val="superscript"/>
        </w:rPr>
        <w:t>#</w:t>
      </w:r>
      <w:r w:rsidRPr="00590996">
        <w:rPr>
          <w:rFonts w:cs="Times New Roman" w:hint="eastAsia"/>
        </w:rPr>
        <w:t>*</w:t>
      </w:r>
      <w:r w:rsidRPr="00590996">
        <w:rPr>
          <w:rFonts w:hint="eastAsia"/>
        </w:rPr>
        <w:t xml:space="preserve">, </w:t>
      </w:r>
      <w:r w:rsidRPr="00590996">
        <w:t>Bingchen Wu</w:t>
      </w:r>
      <w:bookmarkEnd w:id="1"/>
      <w:r w:rsidRPr="00590996">
        <w:rPr>
          <w:rFonts w:cs="Times New Roman"/>
          <w:vertAlign w:val="superscript"/>
        </w:rPr>
        <w:t>1,</w:t>
      </w:r>
      <w:r w:rsidRPr="00590996">
        <w:rPr>
          <w:rFonts w:cs="Times New Roman" w:hint="eastAsia"/>
          <w:vertAlign w:val="superscript"/>
        </w:rPr>
        <w:t>3</w:t>
      </w:r>
      <w:r w:rsidRPr="00590996">
        <w:rPr>
          <w:rFonts w:cs="Times New Roman"/>
          <w:vertAlign w:val="superscript"/>
        </w:rPr>
        <w:t>#</w:t>
      </w:r>
      <w:r w:rsidRPr="00590996">
        <w:rPr>
          <w:rFonts w:hint="eastAsia"/>
        </w:rPr>
        <w:t>, Yang Li</w:t>
      </w:r>
      <w:r w:rsidRPr="00590996">
        <w:rPr>
          <w:rFonts w:hint="eastAsia"/>
          <w:vertAlign w:val="superscript"/>
        </w:rPr>
        <w:t>5</w:t>
      </w:r>
      <w:r w:rsidRPr="00590996">
        <w:rPr>
          <w:rFonts w:hint="eastAsia"/>
        </w:rPr>
        <w:t>, Wenrui Zhu</w:t>
      </w:r>
      <w:r w:rsidRPr="00590996">
        <w:rPr>
          <w:rFonts w:cs="Times New Roman"/>
          <w:vertAlign w:val="superscript"/>
        </w:rPr>
        <w:t>1,</w:t>
      </w:r>
      <w:r w:rsidRPr="00590996">
        <w:rPr>
          <w:rFonts w:cs="Times New Roman" w:hint="eastAsia"/>
          <w:vertAlign w:val="superscript"/>
        </w:rPr>
        <w:t>3</w:t>
      </w:r>
      <w:r w:rsidRPr="00590996">
        <w:rPr>
          <w:rFonts w:hint="eastAsia"/>
        </w:rPr>
        <w:t>, Binxin Liu</w:t>
      </w:r>
      <w:r w:rsidRPr="00590996">
        <w:rPr>
          <w:rFonts w:cs="Times New Roman"/>
          <w:vertAlign w:val="superscript"/>
        </w:rPr>
        <w:t>1,</w:t>
      </w:r>
      <w:r w:rsidRPr="00590996">
        <w:rPr>
          <w:rFonts w:cs="Times New Roman" w:hint="eastAsia"/>
          <w:vertAlign w:val="superscript"/>
        </w:rPr>
        <w:t>3</w:t>
      </w:r>
      <w:r w:rsidRPr="00590996">
        <w:rPr>
          <w:rFonts w:hint="eastAsia"/>
        </w:rPr>
        <w:t>, Aixian Zheng</w:t>
      </w:r>
      <w:r w:rsidRPr="00590996">
        <w:rPr>
          <w:rFonts w:cs="Times New Roman"/>
          <w:vertAlign w:val="superscript"/>
        </w:rPr>
        <w:t>1,</w:t>
      </w:r>
      <w:r w:rsidRPr="00590996">
        <w:rPr>
          <w:rFonts w:cs="Times New Roman" w:hint="eastAsia"/>
          <w:vertAlign w:val="superscript"/>
        </w:rPr>
        <w:t>3</w:t>
      </w:r>
      <w:r w:rsidRPr="00590996">
        <w:rPr>
          <w:rFonts w:hint="eastAsia"/>
        </w:rPr>
        <w:t>, Lingjie Wu</w:t>
      </w:r>
      <w:r w:rsidRPr="00590996">
        <w:rPr>
          <w:rFonts w:cs="Times New Roman"/>
          <w:vertAlign w:val="superscript"/>
        </w:rPr>
        <w:t>1,</w:t>
      </w:r>
      <w:r w:rsidRPr="00590996">
        <w:rPr>
          <w:rFonts w:cs="Times New Roman" w:hint="eastAsia"/>
          <w:vertAlign w:val="superscript"/>
        </w:rPr>
        <w:t>3</w:t>
      </w:r>
      <w:r w:rsidRPr="00590996">
        <w:rPr>
          <w:rFonts w:hint="eastAsia"/>
        </w:rPr>
        <w:t>, Yanyang Wang</w:t>
      </w:r>
      <w:r w:rsidRPr="00590996">
        <w:rPr>
          <w:rFonts w:cs="Times New Roman" w:hint="eastAsia"/>
          <w:vertAlign w:val="superscript"/>
        </w:rPr>
        <w:t>2</w:t>
      </w:r>
      <w:r w:rsidRPr="00590996">
        <w:rPr>
          <w:rFonts w:cs="Times New Roman"/>
          <w:vertAlign w:val="superscript"/>
        </w:rPr>
        <w:t>,</w:t>
      </w:r>
      <w:r w:rsidRPr="00590996">
        <w:rPr>
          <w:rFonts w:cs="Times New Roman" w:hint="eastAsia"/>
          <w:vertAlign w:val="superscript"/>
        </w:rPr>
        <w:t>4</w:t>
      </w:r>
      <w:r w:rsidRPr="00590996">
        <w:rPr>
          <w:rFonts w:cs="Times New Roman"/>
        </w:rPr>
        <w:t>*</w:t>
      </w:r>
      <w:r w:rsidRPr="00590996">
        <w:rPr>
          <w:rFonts w:hint="eastAsia"/>
        </w:rPr>
        <w:t>, Xiaolong Liu</w:t>
      </w:r>
      <w:r w:rsidRPr="00590996">
        <w:rPr>
          <w:rFonts w:cs="Times New Roman"/>
          <w:vertAlign w:val="superscript"/>
        </w:rPr>
        <w:t>1,</w:t>
      </w:r>
      <w:r w:rsidRPr="00590996">
        <w:rPr>
          <w:rFonts w:cs="Times New Roman" w:hint="eastAsia"/>
          <w:vertAlign w:val="superscript"/>
        </w:rPr>
        <w:t>3</w:t>
      </w:r>
      <w:r w:rsidRPr="00590996">
        <w:rPr>
          <w:rFonts w:cs="Times New Roman"/>
        </w:rPr>
        <w:t>*</w:t>
      </w:r>
      <w:r w:rsidRPr="00590996">
        <w:rPr>
          <w:rFonts w:hint="eastAsia"/>
        </w:rPr>
        <w:t>, Ming Wu</w:t>
      </w:r>
      <w:r w:rsidRPr="00590996">
        <w:rPr>
          <w:rFonts w:cs="Times New Roman"/>
          <w:vertAlign w:val="superscript"/>
        </w:rPr>
        <w:t>1,</w:t>
      </w:r>
      <w:r w:rsidRPr="00590996">
        <w:rPr>
          <w:rFonts w:cs="Times New Roman" w:hint="eastAsia"/>
          <w:vertAlign w:val="superscript"/>
        </w:rPr>
        <w:t>3</w:t>
      </w:r>
      <w:r w:rsidRPr="00590996">
        <w:rPr>
          <w:rFonts w:cs="Times New Roman"/>
        </w:rPr>
        <w:t>*</w:t>
      </w:r>
    </w:p>
    <w:p w14:paraId="2E05E264" w14:textId="77777777" w:rsidR="003748BF" w:rsidRPr="00590996" w:rsidRDefault="003748BF" w:rsidP="003748BF">
      <w:pPr>
        <w:spacing w:before="120" w:after="120" w:line="240" w:lineRule="auto"/>
        <w:rPr>
          <w:rFonts w:cs="Times New Roman"/>
        </w:rPr>
      </w:pPr>
      <w:r w:rsidRPr="00590996">
        <w:rPr>
          <w:rFonts w:cs="Times New Roman" w:hint="eastAsia"/>
          <w:vertAlign w:val="superscript"/>
        </w:rPr>
        <w:t xml:space="preserve">1 </w:t>
      </w:r>
      <w:r w:rsidRPr="00590996">
        <w:rPr>
          <w:rFonts w:cs="Times New Roman"/>
        </w:rPr>
        <w:t>The United Innovation of Mengchao Hepatobiliary Technology Key Laboratory of Fujian Province, Mengchao Hepatobiliary Hospital of Fujian Medical University, Fuzhou 350025, P. R. China</w:t>
      </w:r>
    </w:p>
    <w:p w14:paraId="32CAD964" w14:textId="77777777" w:rsidR="003748BF" w:rsidRPr="00590996" w:rsidRDefault="003748BF" w:rsidP="003748BF">
      <w:pPr>
        <w:spacing w:before="120" w:after="120" w:line="240" w:lineRule="auto"/>
        <w:rPr>
          <w:rFonts w:cs="Times New Roman"/>
        </w:rPr>
      </w:pPr>
      <w:r w:rsidRPr="00590996">
        <w:rPr>
          <w:rFonts w:cs="Times New Roman" w:hint="eastAsia"/>
          <w:vertAlign w:val="superscript"/>
        </w:rPr>
        <w:t xml:space="preserve">2 </w:t>
      </w:r>
      <w:r w:rsidRPr="00590996">
        <w:rPr>
          <w:rFonts w:cs="Times New Roman"/>
        </w:rPr>
        <w:t>Department of Radiation Oncology, General Hospital of Ningxia Medical University, Yinchuan 750004, P. R. China</w:t>
      </w:r>
    </w:p>
    <w:p w14:paraId="2B029A9C" w14:textId="77777777" w:rsidR="003748BF" w:rsidRPr="00590996" w:rsidRDefault="003748BF" w:rsidP="003748BF">
      <w:pPr>
        <w:spacing w:before="120" w:after="120" w:line="240" w:lineRule="auto"/>
        <w:rPr>
          <w:rFonts w:cs="Times New Roman"/>
        </w:rPr>
      </w:pPr>
      <w:r w:rsidRPr="00590996">
        <w:rPr>
          <w:rFonts w:cs="Times New Roman" w:hint="eastAsia"/>
          <w:vertAlign w:val="superscript"/>
        </w:rPr>
        <w:t xml:space="preserve">3 </w:t>
      </w:r>
      <w:r w:rsidRPr="00590996">
        <w:rPr>
          <w:rFonts w:cs="Times New Roman"/>
        </w:rPr>
        <w:t>The Liver Center of Fujian Province, Fujian Medical University, Fuzhou 350025, P. R. China</w:t>
      </w:r>
    </w:p>
    <w:p w14:paraId="1DF21EE0" w14:textId="77777777" w:rsidR="003748BF" w:rsidRPr="00590996" w:rsidRDefault="003748BF" w:rsidP="003748BF">
      <w:pPr>
        <w:spacing w:before="120" w:after="120" w:line="240" w:lineRule="auto"/>
        <w:rPr>
          <w:rFonts w:cs="Times New Roman"/>
          <w14:ligatures w14:val="none"/>
        </w:rPr>
      </w:pPr>
      <w:r w:rsidRPr="00590996">
        <w:rPr>
          <w:rFonts w:cs="Times New Roman" w:hint="eastAsia"/>
          <w:vertAlign w:val="superscript"/>
          <w14:ligatures w14:val="none"/>
        </w:rPr>
        <w:t xml:space="preserve">4 </w:t>
      </w:r>
      <w:r w:rsidRPr="00590996">
        <w:rPr>
          <w:rFonts w:cs="Times New Roman" w:hint="eastAsia"/>
          <w14:ligatures w14:val="none"/>
        </w:rPr>
        <w:t xml:space="preserve">Institute of Medical Sciences, General Hospital of Ningxia Medical University, Yinchuan 750004, </w:t>
      </w:r>
      <w:r w:rsidRPr="00590996">
        <w:rPr>
          <w:rFonts w:cs="Times New Roman"/>
        </w:rPr>
        <w:t>P. R. China</w:t>
      </w:r>
    </w:p>
    <w:p w14:paraId="6C9746CC" w14:textId="77777777" w:rsidR="003748BF" w:rsidRPr="00590996" w:rsidRDefault="003748BF" w:rsidP="003748BF">
      <w:pPr>
        <w:spacing w:before="120" w:after="120" w:line="240" w:lineRule="auto"/>
        <w:rPr>
          <w:rFonts w:cs="Times New Roman"/>
          <w14:ligatures w14:val="none"/>
        </w:rPr>
      </w:pPr>
      <w:r w:rsidRPr="00590996">
        <w:rPr>
          <w:rFonts w:cs="Times New Roman" w:hint="eastAsia"/>
          <w:vertAlign w:val="superscript"/>
          <w14:ligatures w14:val="none"/>
        </w:rPr>
        <w:t xml:space="preserve">5 </w:t>
      </w:r>
      <w:r w:rsidRPr="00590996">
        <w:rPr>
          <w:rFonts w:cs="Times New Roman"/>
          <w14:ligatures w14:val="none"/>
        </w:rPr>
        <w:t>State Key Laboratory of Structural Chemistry, Fujian Institute of Research on the Structure of</w:t>
      </w:r>
      <w:r w:rsidRPr="00590996">
        <w:rPr>
          <w:rFonts w:cs="Times New Roman" w:hint="eastAsia"/>
          <w14:ligatures w14:val="none"/>
        </w:rPr>
        <w:t xml:space="preserve"> </w:t>
      </w:r>
      <w:r w:rsidRPr="00590996">
        <w:rPr>
          <w:rFonts w:cs="Times New Roman"/>
          <w14:ligatures w14:val="none"/>
        </w:rPr>
        <w:t>Matter, Chinese Academy of Sciences, Fuzhou, P. R. China</w:t>
      </w:r>
    </w:p>
    <w:p w14:paraId="0283EEA2" w14:textId="77777777" w:rsidR="003748BF" w:rsidRPr="00590996" w:rsidRDefault="003748BF" w:rsidP="003748BF">
      <w:pPr>
        <w:spacing w:before="120" w:after="120" w:line="240" w:lineRule="auto"/>
        <w:rPr>
          <w:rFonts w:cs="Times New Roman"/>
        </w:rPr>
      </w:pPr>
      <w:r w:rsidRPr="00590996">
        <w:rPr>
          <w:rFonts w:cs="Times New Roman"/>
          <w:vertAlign w:val="superscript"/>
        </w:rPr>
        <w:t>#</w:t>
      </w:r>
      <w:r w:rsidRPr="00590996">
        <w:rPr>
          <w:rFonts w:hint="eastAsia"/>
        </w:rPr>
        <w:t>Yanbing Cao, Xinyi Lin, an</w:t>
      </w:r>
      <w:r w:rsidRPr="00590996">
        <w:t xml:space="preserve">d Bingchen Wu </w:t>
      </w:r>
      <w:r w:rsidRPr="00590996">
        <w:rPr>
          <w:rFonts w:cs="Times New Roman"/>
        </w:rPr>
        <w:t>have equal contribution to this paper.</w:t>
      </w:r>
    </w:p>
    <w:p w14:paraId="1A666D55" w14:textId="77777777" w:rsidR="003748BF" w:rsidRPr="00590996" w:rsidRDefault="003748BF" w:rsidP="003748BF">
      <w:pPr>
        <w:spacing w:before="120" w:after="120" w:line="240" w:lineRule="auto"/>
        <w:rPr>
          <w:rFonts w:cs="Times New Roman"/>
        </w:rPr>
      </w:pPr>
      <w:r w:rsidRPr="00590996">
        <w:rPr>
          <w:rFonts w:cs="Times New Roman"/>
        </w:rPr>
        <w:t xml:space="preserve">*Corresponding authors. E-mail: </w:t>
      </w:r>
      <w:hyperlink r:id="rId8" w:history="1">
        <w:r w:rsidRPr="00590996">
          <w:rPr>
            <w:rStyle w:val="Hyperlink"/>
            <w:rFonts w:cs="Times New Roman" w:hint="eastAsia"/>
          </w:rPr>
          <w:t>lxy.1210@163.com</w:t>
        </w:r>
      </w:hyperlink>
      <w:r w:rsidRPr="00590996">
        <w:rPr>
          <w:rFonts w:cs="Times New Roman"/>
        </w:rPr>
        <w:t xml:space="preserve"> </w:t>
      </w:r>
      <w:r w:rsidRPr="00590996">
        <w:rPr>
          <w:rFonts w:cs="Times New Roman" w:hint="eastAsia"/>
        </w:rPr>
        <w:t>(Xinyi Lin )</w:t>
      </w:r>
      <w:r w:rsidRPr="00590996">
        <w:rPr>
          <w:rFonts w:cs="Times New Roman"/>
        </w:rPr>
        <w:t>;</w:t>
      </w:r>
      <w:r w:rsidRPr="00590996">
        <w:rPr>
          <w:rFonts w:cs="Times New Roman" w:hint="eastAsia"/>
        </w:rPr>
        <w:t xml:space="preserve"> </w:t>
      </w:r>
      <w:hyperlink r:id="rId9" w:history="1">
        <w:r w:rsidRPr="00590996">
          <w:rPr>
            <w:rStyle w:val="Hyperlink"/>
            <w:rFonts w:cs="Times New Roman"/>
          </w:rPr>
          <w:t>wangyy@nxmu.edu.cn</w:t>
        </w:r>
      </w:hyperlink>
      <w:r w:rsidRPr="00590996">
        <w:rPr>
          <w:rFonts w:cs="Times New Roman"/>
        </w:rPr>
        <w:t xml:space="preserve"> </w:t>
      </w:r>
      <w:r w:rsidRPr="00590996">
        <w:rPr>
          <w:rFonts w:hint="eastAsia"/>
        </w:rPr>
        <w:t>(Yanyang Wang )</w:t>
      </w:r>
      <w:r w:rsidRPr="00590996">
        <w:t>;</w:t>
      </w:r>
      <w:r w:rsidRPr="00590996">
        <w:rPr>
          <w:rFonts w:hint="eastAsia"/>
        </w:rPr>
        <w:t xml:space="preserve"> </w:t>
      </w:r>
      <w:hyperlink r:id="rId10" w:history="1">
        <w:r w:rsidRPr="00590996">
          <w:rPr>
            <w:rStyle w:val="Hyperlink"/>
            <w:rFonts w:cs="Times New Roman"/>
          </w:rPr>
          <w:t>xiaoloong.liu@gmail.com</w:t>
        </w:r>
      </w:hyperlink>
      <w:r w:rsidRPr="00590996">
        <w:rPr>
          <w:rFonts w:cs="Times New Roman"/>
        </w:rPr>
        <w:t xml:space="preserve"> </w:t>
      </w:r>
      <w:r w:rsidRPr="00590996">
        <w:rPr>
          <w:rFonts w:hint="eastAsia"/>
        </w:rPr>
        <w:t>(Xiaolong Liu )</w:t>
      </w:r>
      <w:r w:rsidRPr="00590996">
        <w:t>;</w:t>
      </w:r>
      <w:r w:rsidRPr="00590996">
        <w:rPr>
          <w:rFonts w:hint="eastAsia"/>
        </w:rPr>
        <w:t xml:space="preserve"> </w:t>
      </w:r>
      <w:hyperlink r:id="rId11" w:history="1">
        <w:r w:rsidRPr="00590996">
          <w:rPr>
            <w:rStyle w:val="Hyperlink"/>
            <w:rFonts w:cs="Times New Roman"/>
          </w:rPr>
          <w:t>wmmj0419@163.com</w:t>
        </w:r>
      </w:hyperlink>
      <w:r w:rsidRPr="00590996">
        <w:rPr>
          <w:rFonts w:cs="Times New Roman"/>
        </w:rPr>
        <w:t xml:space="preserve"> </w:t>
      </w:r>
      <w:r w:rsidRPr="00590996">
        <w:rPr>
          <w:rFonts w:hint="eastAsia"/>
        </w:rPr>
        <w:t xml:space="preserve">(Ming Wu) </w:t>
      </w:r>
    </w:p>
    <w:p w14:paraId="49BA0D89" w14:textId="63E48C12" w:rsidR="00266A32" w:rsidRPr="00590996" w:rsidRDefault="006E25F8" w:rsidP="003748BF">
      <w:pPr>
        <w:spacing w:before="120" w:after="120" w:line="240" w:lineRule="auto"/>
        <w:jc w:val="both"/>
        <w:rPr>
          <w:rFonts w:cs="Times New Roman"/>
          <w:b/>
          <w:bCs/>
          <w:sz w:val="28"/>
          <w:szCs w:val="28"/>
        </w:rPr>
      </w:pPr>
      <w:r w:rsidRPr="00590996">
        <w:rPr>
          <w:rFonts w:cs="Times New Roman"/>
          <w:b/>
          <w:bCs/>
          <w:sz w:val="28"/>
          <w:szCs w:val="28"/>
        </w:rPr>
        <w:t xml:space="preserve">S1 </w:t>
      </w:r>
      <w:r w:rsidR="00266A32" w:rsidRPr="00590996">
        <w:rPr>
          <w:rFonts w:cs="Times New Roman" w:hint="eastAsia"/>
          <w:b/>
          <w:bCs/>
          <w:sz w:val="28"/>
          <w:szCs w:val="28"/>
        </w:rPr>
        <w:t>Experimental Section</w:t>
      </w:r>
    </w:p>
    <w:p w14:paraId="01A62AF2" w14:textId="6B2B911F" w:rsidR="00266A32" w:rsidRPr="00590996" w:rsidRDefault="006E25F8" w:rsidP="003748BF">
      <w:pPr>
        <w:spacing w:before="120" w:after="120" w:line="240" w:lineRule="auto"/>
        <w:jc w:val="both"/>
        <w:rPr>
          <w:rFonts w:cs="Times New Roman"/>
          <w:b/>
          <w:bCs/>
        </w:rPr>
      </w:pPr>
      <w:r w:rsidRPr="00590996">
        <w:rPr>
          <w:rFonts w:cs="Times New Roman"/>
          <w:b/>
          <w:bCs/>
        </w:rPr>
        <w:t xml:space="preserve">S1.1 </w:t>
      </w:r>
      <w:r w:rsidR="00266A32" w:rsidRPr="00590996">
        <w:rPr>
          <w:rFonts w:cs="Times New Roman" w:hint="eastAsia"/>
          <w:b/>
          <w:bCs/>
        </w:rPr>
        <w:t>Fabrication and characterization</w:t>
      </w:r>
    </w:p>
    <w:p w14:paraId="5ECA4826" w14:textId="77777777" w:rsidR="00266A32" w:rsidRPr="00590996" w:rsidRDefault="00266A32" w:rsidP="003748BF">
      <w:pPr>
        <w:spacing w:before="120" w:after="120" w:line="240" w:lineRule="auto"/>
        <w:ind w:firstLineChars="200" w:firstLine="480"/>
        <w:jc w:val="both"/>
        <w:rPr>
          <w:rFonts w:cs="Times New Roman"/>
        </w:rPr>
      </w:pPr>
      <w:r w:rsidRPr="00590996">
        <w:rPr>
          <w:rFonts w:cs="Times New Roman" w:hint="eastAsia"/>
          <w:i/>
          <w:iCs/>
        </w:rPr>
        <w:t>Preparation of MCI-NP</w:t>
      </w:r>
      <w:r w:rsidRPr="00590996">
        <w:rPr>
          <w:rFonts w:cs="Times New Roman" w:hint="eastAsia"/>
        </w:rPr>
        <w:t xml:space="preserve">: </w:t>
      </w:r>
      <w:r w:rsidRPr="00590996">
        <w:rPr>
          <w:rFonts w:cs="Times New Roman"/>
        </w:rPr>
        <w:t>MCI-NP was prepared via a coordination-driven self-assembly strategy. Briefly,</w:t>
      </w:r>
      <w:r w:rsidRPr="00590996">
        <w:rPr>
          <w:rFonts w:cs="Times New Roman" w:hint="eastAsia"/>
        </w:rPr>
        <w:t xml:space="preserve"> 10 mg of</w:t>
      </w:r>
      <w:r w:rsidRPr="00590996">
        <w:rPr>
          <w:rFonts w:cs="Times New Roman"/>
        </w:rPr>
        <w:t xml:space="preserve"> MSA-2</w:t>
      </w:r>
      <w:r w:rsidRPr="00590996">
        <w:rPr>
          <w:rFonts w:cs="Times New Roman" w:hint="eastAsia"/>
        </w:rPr>
        <w:t xml:space="preserve"> (</w:t>
      </w:r>
      <w:r w:rsidRPr="00590996">
        <w:rPr>
          <w:rFonts w:cs="Times New Roman"/>
        </w:rPr>
        <w:t>Titan Scientific, Shanghai, China</w:t>
      </w:r>
      <w:r w:rsidRPr="00590996">
        <w:rPr>
          <w:rFonts w:cs="Times New Roman" w:hint="eastAsia"/>
        </w:rPr>
        <w:t xml:space="preserve">) </w:t>
      </w:r>
      <w:r w:rsidRPr="00590996">
        <w:rPr>
          <w:rFonts w:cs="Times New Roman"/>
        </w:rPr>
        <w:t>was dissolved in dimethyl sulfoxide and diluted with ethanol, followed by dropwise addition into an ethanolic solution of</w:t>
      </w:r>
      <w:r w:rsidRPr="00590996">
        <w:rPr>
          <w:rFonts w:cs="Times New Roman" w:hint="eastAsia"/>
        </w:rPr>
        <w:t xml:space="preserve"> </w:t>
      </w:r>
      <w:r w:rsidRPr="00590996">
        <w:rPr>
          <w:rFonts w:cs="Times New Roman"/>
        </w:rPr>
        <w:t>CuCl</w:t>
      </w:r>
      <w:r w:rsidRPr="00590996">
        <w:rPr>
          <w:rFonts w:cs="Times New Roman" w:hint="eastAsia"/>
          <w:vertAlign w:val="subscript"/>
        </w:rPr>
        <w:t>2</w:t>
      </w:r>
      <w:r w:rsidRPr="00590996">
        <w:rPr>
          <w:rFonts w:cs="Times New Roman"/>
        </w:rPr>
        <w:t xml:space="preserve"> </w:t>
      </w:r>
      <w:r w:rsidRPr="00590996">
        <w:rPr>
          <w:rFonts w:cs="Times New Roman" w:hint="eastAsia"/>
        </w:rPr>
        <w:t>(1 mL, 10 mg</w:t>
      </w:r>
      <w:r w:rsidRPr="00590996">
        <w:rPr>
          <w:rFonts w:cs="Times New Roman"/>
          <w:sz w:val="21"/>
          <w:szCs w:val="21"/>
        </w:rPr>
        <w:t>·</w:t>
      </w:r>
      <w:r w:rsidRPr="00590996">
        <w:rPr>
          <w:rFonts w:cs="Times New Roman" w:hint="eastAsia"/>
        </w:rPr>
        <w:t>mL</w:t>
      </w:r>
      <w:r w:rsidRPr="00590996">
        <w:rPr>
          <w:rFonts w:cs="Times New Roman" w:hint="eastAsia"/>
          <w:vertAlign w:val="superscript"/>
        </w:rPr>
        <w:t>-1</w:t>
      </w:r>
      <w:r w:rsidRPr="00590996">
        <w:rPr>
          <w:rFonts w:cs="Times New Roman" w:hint="eastAsia"/>
        </w:rPr>
        <w:t xml:space="preserve">; </w:t>
      </w:r>
      <w:r w:rsidRPr="00590996">
        <w:rPr>
          <w:rFonts w:cs="Times New Roman"/>
        </w:rPr>
        <w:t>Sinopharm</w:t>
      </w:r>
      <w:r w:rsidRPr="00590996">
        <w:rPr>
          <w:rFonts w:cs="Times New Roman" w:hint="eastAsia"/>
        </w:rPr>
        <w:t xml:space="preserve"> </w:t>
      </w:r>
      <w:r w:rsidRPr="00590996">
        <w:rPr>
          <w:rFonts w:cs="Times New Roman"/>
        </w:rPr>
        <w:t>Chemical Reagent</w:t>
      </w:r>
      <w:r w:rsidRPr="00590996">
        <w:rPr>
          <w:rFonts w:cs="Times New Roman" w:hint="eastAsia"/>
        </w:rPr>
        <w:t>,</w:t>
      </w:r>
      <w:r w:rsidRPr="00590996">
        <w:rPr>
          <w:rFonts w:cs="Times New Roman"/>
        </w:rPr>
        <w:t xml:space="preserve"> Shanghai, China)</w:t>
      </w:r>
      <w:r w:rsidRPr="00590996">
        <w:rPr>
          <w:rFonts w:cs="Times New Roman" w:hint="eastAsia"/>
        </w:rPr>
        <w:t xml:space="preserve"> </w:t>
      </w:r>
      <w:r w:rsidRPr="00590996">
        <w:rPr>
          <w:rFonts w:cs="Times New Roman"/>
        </w:rPr>
        <w:t>under continuous stirring. After</w:t>
      </w:r>
      <w:r w:rsidRPr="00590996">
        <w:rPr>
          <w:rFonts w:cs="Times New Roman" w:hint="eastAsia"/>
        </w:rPr>
        <w:t xml:space="preserve"> </w:t>
      </w:r>
      <w:r w:rsidRPr="00590996">
        <w:rPr>
          <w:rFonts w:cs="Times New Roman"/>
        </w:rPr>
        <w:t>coordination assembly</w:t>
      </w:r>
      <w:r w:rsidRPr="00590996">
        <w:rPr>
          <w:rFonts w:cs="Times New Roman" w:hint="eastAsia"/>
        </w:rPr>
        <w:t xml:space="preserve"> for 8 h</w:t>
      </w:r>
      <w:r w:rsidRPr="00590996">
        <w:rPr>
          <w:rFonts w:cs="Times New Roman"/>
        </w:rPr>
        <w:t>,</w:t>
      </w:r>
      <w:r w:rsidRPr="00590996">
        <w:rPr>
          <w:rFonts w:cs="Times New Roman" w:hint="eastAsia"/>
        </w:rPr>
        <w:t xml:space="preserve"> 1 mL of an </w:t>
      </w:r>
      <w:r w:rsidRPr="00590996">
        <w:rPr>
          <w:rFonts w:cs="Times New Roman"/>
        </w:rPr>
        <w:t>ethanol</w:t>
      </w:r>
      <w:r w:rsidRPr="00590996">
        <w:rPr>
          <w:rFonts w:cs="Times New Roman" w:hint="eastAsia"/>
        </w:rPr>
        <w:t xml:space="preserve"> solution of</w:t>
      </w:r>
      <w:r w:rsidRPr="00590996">
        <w:rPr>
          <w:rFonts w:cs="Times New Roman"/>
        </w:rPr>
        <w:t xml:space="preserve"> ICG</w:t>
      </w:r>
      <w:r w:rsidRPr="00590996">
        <w:rPr>
          <w:rFonts w:cs="Times New Roman" w:hint="eastAsia"/>
        </w:rPr>
        <w:t xml:space="preserve"> (20 mg</w:t>
      </w:r>
      <w:r w:rsidRPr="00590996">
        <w:rPr>
          <w:rFonts w:cs="Times New Roman"/>
          <w:sz w:val="21"/>
          <w:szCs w:val="21"/>
        </w:rPr>
        <w:t>·</w:t>
      </w:r>
      <w:r w:rsidRPr="00590996">
        <w:rPr>
          <w:rFonts w:cs="Times New Roman" w:hint="eastAsia"/>
        </w:rPr>
        <w:t>mL</w:t>
      </w:r>
      <w:r w:rsidRPr="00590996">
        <w:rPr>
          <w:rFonts w:cs="Times New Roman" w:hint="eastAsia"/>
          <w:vertAlign w:val="superscript"/>
        </w:rPr>
        <w:t>-1</w:t>
      </w:r>
      <w:r w:rsidRPr="00590996">
        <w:rPr>
          <w:rFonts w:cs="Times New Roman" w:hint="eastAsia"/>
        </w:rPr>
        <w:t xml:space="preserve">; </w:t>
      </w:r>
      <w:r w:rsidRPr="00590996">
        <w:rPr>
          <w:rFonts w:cs="Times New Roman"/>
        </w:rPr>
        <w:t>Titan Scientific, Shanghai, China</w:t>
      </w:r>
      <w:r w:rsidRPr="00590996">
        <w:rPr>
          <w:rFonts w:cs="Times New Roman" w:hint="eastAsia"/>
        </w:rPr>
        <w:t xml:space="preserve">) </w:t>
      </w:r>
      <w:r w:rsidRPr="00590996">
        <w:rPr>
          <w:rFonts w:cs="Times New Roman"/>
        </w:rPr>
        <w:t>was introduced and allowed to further assemble</w:t>
      </w:r>
      <w:r w:rsidRPr="00590996">
        <w:rPr>
          <w:rFonts w:cs="Times New Roman" w:hint="eastAsia"/>
        </w:rPr>
        <w:t xml:space="preserve"> for an additional 2 h</w:t>
      </w:r>
      <w:r w:rsidRPr="00590996">
        <w:rPr>
          <w:rFonts w:cs="Times New Roman"/>
        </w:rPr>
        <w:t xml:space="preserve">. The resulting mixture was slowly injected into ultrapure water to induce nanoparticle formation </w:t>
      </w:r>
      <w:r w:rsidRPr="00590996">
        <w:rPr>
          <w:rFonts w:cs="Times New Roman" w:hint="eastAsia"/>
        </w:rPr>
        <w:t>via</w:t>
      </w:r>
      <w:r w:rsidRPr="00590996">
        <w:rPr>
          <w:rFonts w:cs="Times New Roman"/>
        </w:rPr>
        <w:t xml:space="preserve"> solvent exchange, and ethanol was removed by overnight stirring. The nanoparticles were collected by ultracentrifugation (100</w:t>
      </w:r>
      <w:r w:rsidRPr="00590996">
        <w:rPr>
          <w:rFonts w:cs="Times New Roman" w:hint="eastAsia"/>
        </w:rPr>
        <w:t xml:space="preserve"> </w:t>
      </w:r>
      <w:r w:rsidRPr="00590996">
        <w:rPr>
          <w:rFonts w:cs="Times New Roman"/>
        </w:rPr>
        <w:t>000 g, 30 min) and redispersed in ultrapure water to obtain a stable MCI-NP suspension.</w:t>
      </w:r>
    </w:p>
    <w:p w14:paraId="113EC987" w14:textId="77B66291" w:rsidR="00266A32" w:rsidRPr="00590996" w:rsidRDefault="00266A32" w:rsidP="003748BF">
      <w:pPr>
        <w:spacing w:before="120" w:after="120" w:line="240" w:lineRule="auto"/>
        <w:ind w:firstLineChars="200" w:firstLine="480"/>
        <w:jc w:val="both"/>
        <w:rPr>
          <w:rFonts w:cs="Times New Roman"/>
        </w:rPr>
      </w:pPr>
      <w:r w:rsidRPr="00590996">
        <w:rPr>
          <w:rFonts w:cs="Times New Roman"/>
          <w:i/>
          <w:iCs/>
        </w:rPr>
        <w:t>Preparation of PD-1</w:t>
      </w:r>
      <w:r w:rsidRPr="00590996">
        <w:rPr>
          <w:rFonts w:cs="Times New Roman" w:hint="eastAsia"/>
          <w:i/>
          <w:iCs/>
        </w:rPr>
        <w:t>-</w:t>
      </w:r>
      <w:r w:rsidRPr="00590996">
        <w:rPr>
          <w:rFonts w:cs="Times New Roman"/>
          <w:i/>
          <w:iCs/>
        </w:rPr>
        <w:t>overexpressing cell membranes</w:t>
      </w:r>
      <w:r w:rsidRPr="00590996">
        <w:rPr>
          <w:rFonts w:cs="Times New Roman" w:hint="eastAsia"/>
          <w:i/>
          <w:iCs/>
        </w:rPr>
        <w:t xml:space="preserve"> (mPD</w:t>
      </w:r>
      <w:r w:rsidR="00DA467D" w:rsidRPr="00590996">
        <w:rPr>
          <w:rFonts w:cs="Times New Roman" w:hint="eastAsia"/>
          <w:i/>
          <w:iCs/>
        </w:rPr>
        <w:t>-</w:t>
      </w:r>
      <w:r w:rsidRPr="00590996">
        <w:rPr>
          <w:rFonts w:cs="Times New Roman" w:hint="eastAsia"/>
          <w:i/>
          <w:iCs/>
        </w:rPr>
        <w:t>1)</w:t>
      </w:r>
      <w:r w:rsidRPr="00590996">
        <w:rPr>
          <w:rFonts w:cs="Times New Roman" w:hint="eastAsia"/>
        </w:rPr>
        <w:t xml:space="preserve">: </w:t>
      </w:r>
      <w:r w:rsidRPr="00590996">
        <w:rPr>
          <w:rFonts w:cs="Times New Roman"/>
        </w:rPr>
        <w:t>PD-1</w:t>
      </w:r>
      <w:r w:rsidRPr="00590996">
        <w:rPr>
          <w:rFonts w:cs="Times New Roman" w:hint="eastAsia"/>
        </w:rPr>
        <w:t>-</w:t>
      </w:r>
      <w:r w:rsidRPr="00590996">
        <w:rPr>
          <w:rFonts w:cs="Times New Roman"/>
        </w:rPr>
        <w:t>overexpressing 293FT cells were generated via lentiviral transduction using a PD-1</w:t>
      </w:r>
      <w:r w:rsidRPr="00590996">
        <w:rPr>
          <w:rFonts w:cs="Times New Roman" w:hint="eastAsia"/>
        </w:rPr>
        <w:t>-</w:t>
      </w:r>
      <w:r w:rsidRPr="00590996">
        <w:rPr>
          <w:rFonts w:cs="Times New Roman"/>
        </w:rPr>
        <w:t>mCherry fusion construct under the control of a CMV promoter</w:t>
      </w:r>
      <w:r w:rsidRPr="00590996">
        <w:rPr>
          <w:rFonts w:cs="Times New Roman" w:hint="eastAsia"/>
        </w:rPr>
        <w:t>,</w:t>
      </w:r>
      <w:r w:rsidRPr="00590996">
        <w:rPr>
          <w:rFonts w:cs="Times New Roman"/>
        </w:rPr>
        <w:t xml:space="preserve"> following procedures adapted from our previously reported membrane engineering strategy</w:t>
      </w:r>
      <w:r w:rsidR="00465320" w:rsidRPr="00590996">
        <w:rPr>
          <w:rFonts w:cs="Times New Roman" w:hint="eastAsia"/>
        </w:rPr>
        <w:t xml:space="preserve"> </w:t>
      </w:r>
      <w:r w:rsidRPr="00590996">
        <w:rPr>
          <w:rFonts w:cs="Times New Roman"/>
        </w:rPr>
        <w:fldChar w:fldCharType="begin">
          <w:fldData xml:space="preserve">PEVuZE5vdGU+PENpdGU+PEF1dGhvcj5XdTwvQXV0aG9yPjxZZWFyPjIwMjU8L1llYXI+PFJlY051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==
</w:fldData>
        </w:fldChar>
      </w:r>
      <w:r w:rsidR="00465320" w:rsidRPr="00590996">
        <w:rPr>
          <w:rFonts w:cs="Times New Roman"/>
        </w:rPr>
        <w:instrText xml:space="preserve"> ADDIN EN.CITE </w:instrText>
      </w:r>
      <w:r w:rsidR="00465320" w:rsidRPr="00590996">
        <w:rPr>
          <w:rFonts w:cs="Times New Roman"/>
        </w:rPr>
        <w:fldChar w:fldCharType="begin">
          <w:fldData xml:space="preserve">PEVuZE5vdGU+PENpdGU+PEF1dGhvcj5XdTwvQXV0aG9yPjxZZWFyPjIwMjU8L1llYXI+PFJlY051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==
</w:fldData>
        </w:fldChar>
      </w:r>
      <w:r w:rsidR="00465320" w:rsidRPr="00590996">
        <w:rPr>
          <w:rFonts w:cs="Times New Roman"/>
        </w:rPr>
        <w:instrText xml:space="preserve"> ADDIN EN.CITE.DATA </w:instrText>
      </w:r>
      <w:r w:rsidR="00465320" w:rsidRPr="00590996">
        <w:rPr>
          <w:rFonts w:cs="Times New Roman"/>
        </w:rPr>
      </w:r>
      <w:r w:rsidR="00465320" w:rsidRPr="00590996">
        <w:rPr>
          <w:rFonts w:cs="Times New Roman"/>
        </w:rPr>
        <w:fldChar w:fldCharType="end"/>
      </w:r>
      <w:r w:rsidRPr="00590996">
        <w:rPr>
          <w:rFonts w:cs="Times New Roman"/>
        </w:rPr>
      </w:r>
      <w:r w:rsidRPr="00590996">
        <w:rPr>
          <w:rFonts w:cs="Times New Roman"/>
        </w:rPr>
        <w:fldChar w:fldCharType="separate"/>
      </w:r>
      <w:r w:rsidR="00465320" w:rsidRPr="00590996">
        <w:rPr>
          <w:rFonts w:cs="Times New Roman"/>
          <w:noProof/>
        </w:rPr>
        <w:t>[</w:t>
      </w:r>
      <w:r w:rsidR="006E25F8" w:rsidRPr="00590996">
        <w:rPr>
          <w:rFonts w:cs="Times New Roman"/>
          <w:noProof/>
        </w:rPr>
        <w:t>S</w:t>
      </w:r>
      <w:r w:rsidR="00465320" w:rsidRPr="00590996">
        <w:rPr>
          <w:rFonts w:cs="Times New Roman"/>
          <w:noProof/>
        </w:rPr>
        <w:t>1-</w:t>
      </w:r>
      <w:r w:rsidR="006E25F8" w:rsidRPr="00590996">
        <w:rPr>
          <w:rFonts w:cs="Times New Roman"/>
          <w:noProof/>
        </w:rPr>
        <w:t>S</w:t>
      </w:r>
      <w:r w:rsidR="00465320" w:rsidRPr="00590996">
        <w:rPr>
          <w:rFonts w:cs="Times New Roman"/>
          <w:noProof/>
        </w:rPr>
        <w:t>3]</w:t>
      </w:r>
      <w:r w:rsidRPr="00590996">
        <w:rPr>
          <w:rFonts w:cs="Times New Roman"/>
        </w:rPr>
        <w:fldChar w:fldCharType="end"/>
      </w:r>
      <w:r w:rsidR="00465320" w:rsidRPr="00590996">
        <w:rPr>
          <w:rFonts w:cs="Times New Roman"/>
        </w:rPr>
        <w:t>.</w:t>
      </w:r>
      <w:r w:rsidRPr="00590996">
        <w:rPr>
          <w:rFonts w:cs="Times New Roman"/>
        </w:rPr>
        <w:t xml:space="preserve"> Stable cell lines were obtained by puromycin selection and monoclonal expansion. </w:t>
      </w:r>
      <w:r w:rsidRPr="00590996">
        <w:rPr>
          <w:rFonts w:cs="Times New Roman" w:hint="eastAsia"/>
        </w:rPr>
        <w:t>M</w:t>
      </w:r>
      <w:r w:rsidRPr="00590996">
        <w:rPr>
          <w:rFonts w:cs="Times New Roman"/>
        </w:rPr>
        <w:t xml:space="preserve">embrane localization and homogeneous expression of PD-1 were confirmed by </w:t>
      </w:r>
      <w:r w:rsidRPr="00590996">
        <w:rPr>
          <w:rFonts w:cs="Times New Roman" w:hint="eastAsia"/>
        </w:rPr>
        <w:t>CLSM</w:t>
      </w:r>
      <w:r w:rsidRPr="00590996">
        <w:rPr>
          <w:rFonts w:cs="Times New Roman"/>
        </w:rPr>
        <w:t xml:space="preserve"> and flow cytometry. Plasma membranes were isolated from PD-1</w:t>
      </w:r>
      <w:r w:rsidRPr="00590996">
        <w:rPr>
          <w:rFonts w:cs="Times New Roman" w:hint="eastAsia"/>
        </w:rPr>
        <w:t>-</w:t>
      </w:r>
      <w:r w:rsidRPr="00590996">
        <w:rPr>
          <w:rFonts w:cs="Times New Roman"/>
        </w:rPr>
        <w:t xml:space="preserve">overexpressing 293FT cells </w:t>
      </w:r>
      <w:r w:rsidRPr="00590996">
        <w:rPr>
          <w:rFonts w:cs="Times New Roman" w:hint="eastAsia"/>
        </w:rPr>
        <w:t>via</w:t>
      </w:r>
      <w:r w:rsidRPr="00590996">
        <w:rPr>
          <w:rFonts w:cs="Times New Roman"/>
        </w:rPr>
        <w:t xml:space="preserve"> hypotonic lysis </w:t>
      </w:r>
      <w:r w:rsidRPr="00590996">
        <w:rPr>
          <w:rFonts w:cs="Times New Roman" w:hint="eastAsia"/>
        </w:rPr>
        <w:t>and subsequent</w:t>
      </w:r>
      <w:r w:rsidRPr="00590996">
        <w:rPr>
          <w:rFonts w:cs="Times New Roman"/>
        </w:rPr>
        <w:t xml:space="preserve"> differential centrifugation. The resulting membrane fractions were collected by ultracentrifugation, resuspended in Tris-based buffer, and stored at −80 °C until use. Protein </w:t>
      </w:r>
      <w:r w:rsidRPr="00590996">
        <w:rPr>
          <w:rFonts w:cs="Times New Roman"/>
        </w:rPr>
        <w:lastRenderedPageBreak/>
        <w:t>concentrations were quantified by BCA assay.</w:t>
      </w:r>
      <w:r w:rsidRPr="00590996">
        <w:rPr>
          <w:rFonts w:cs="Times New Roman" w:hint="eastAsia"/>
        </w:rPr>
        <w:t xml:space="preserve"> </w:t>
      </w:r>
      <w:r w:rsidRPr="00590996">
        <w:rPr>
          <w:rFonts w:cs="Times New Roman"/>
        </w:rPr>
        <w:t>Wild-type 293FT cells served as the source for control cell membranes, which were isolated and stored following the same protocols as described for mPD</w:t>
      </w:r>
      <w:r w:rsidR="00DA467D" w:rsidRPr="00590996">
        <w:rPr>
          <w:rFonts w:cs="Times New Roman" w:hint="eastAsia"/>
        </w:rPr>
        <w:t>-</w:t>
      </w:r>
      <w:r w:rsidRPr="00590996">
        <w:rPr>
          <w:rFonts w:cs="Times New Roman"/>
        </w:rPr>
        <w:t>1.</w:t>
      </w:r>
    </w:p>
    <w:p w14:paraId="30C5F851" w14:textId="0151EA94" w:rsidR="00266A32" w:rsidRPr="00590996" w:rsidRDefault="00266A32" w:rsidP="003748BF">
      <w:pPr>
        <w:spacing w:before="120" w:after="120" w:line="240" w:lineRule="auto"/>
        <w:ind w:firstLineChars="200" w:firstLine="480"/>
        <w:jc w:val="both"/>
        <w:rPr>
          <w:rFonts w:cs="Times New Roman"/>
        </w:rPr>
      </w:pPr>
      <w:r w:rsidRPr="00590996">
        <w:rPr>
          <w:rFonts w:cs="Times New Roman"/>
          <w:i/>
          <w:iCs/>
        </w:rPr>
        <w:t>Preparation of MCI-NP@mPD-1</w:t>
      </w:r>
      <w:r w:rsidRPr="00590996">
        <w:rPr>
          <w:rFonts w:cs="Times New Roman" w:hint="eastAsia"/>
        </w:rPr>
        <w:t xml:space="preserve">: </w:t>
      </w:r>
      <w:r w:rsidRPr="00590996">
        <w:rPr>
          <w:rFonts w:cs="Times New Roman"/>
        </w:rPr>
        <w:t xml:space="preserve">MCI-NP@mPD-1 was prepared by coating MCI-NP with </w:t>
      </w:r>
      <w:r w:rsidRPr="00590996">
        <w:rPr>
          <w:rFonts w:cs="Times New Roman" w:hint="eastAsia"/>
        </w:rPr>
        <w:t>mPD</w:t>
      </w:r>
      <w:r w:rsidR="00DA467D" w:rsidRPr="00590996">
        <w:rPr>
          <w:rFonts w:cs="Times New Roman" w:hint="eastAsia"/>
        </w:rPr>
        <w:t>-</w:t>
      </w:r>
      <w:r w:rsidRPr="00590996">
        <w:rPr>
          <w:rFonts w:cs="Times New Roman" w:hint="eastAsia"/>
        </w:rPr>
        <w:t>1</w:t>
      </w:r>
      <w:r w:rsidRPr="00590996">
        <w:rPr>
          <w:rFonts w:cs="Times New Roman"/>
        </w:rPr>
        <w:t xml:space="preserve"> via a membrane fusion</w:t>
      </w:r>
      <w:r w:rsidRPr="00590996">
        <w:rPr>
          <w:rFonts w:cs="Times New Roman" w:hint="eastAsia"/>
        </w:rPr>
        <w:t>-</w:t>
      </w:r>
      <w:r w:rsidRPr="00590996">
        <w:rPr>
          <w:rFonts w:cs="Times New Roman"/>
        </w:rPr>
        <w:t xml:space="preserve">extrusion strategy. Briefly, </w:t>
      </w:r>
      <w:r w:rsidRPr="00590996">
        <w:rPr>
          <w:rFonts w:cs="Times New Roman" w:hint="eastAsia"/>
        </w:rPr>
        <w:t>mPD</w:t>
      </w:r>
      <w:r w:rsidR="00DA467D" w:rsidRPr="00590996">
        <w:rPr>
          <w:rFonts w:cs="Times New Roman" w:hint="eastAsia"/>
        </w:rPr>
        <w:t>-</w:t>
      </w:r>
      <w:r w:rsidRPr="00590996">
        <w:rPr>
          <w:rFonts w:cs="Times New Roman" w:hint="eastAsia"/>
        </w:rPr>
        <w:t>1</w:t>
      </w:r>
      <w:r w:rsidRPr="00590996">
        <w:rPr>
          <w:rFonts w:cs="Times New Roman"/>
        </w:rPr>
        <w:t xml:space="preserve"> were mixed with MCI-NP at a mass ratio of 1:1 in PBS (pH 7.4), followed by probe sonication in an ice bath to promote membrane dispersion. The mixture was then incubated at 37 °C under gentle agitation to facilitate membrane</w:t>
      </w:r>
      <w:r w:rsidRPr="00590996">
        <w:rPr>
          <w:rFonts w:cs="Times New Roman" w:hint="eastAsia"/>
        </w:rPr>
        <w:t>-</w:t>
      </w:r>
      <w:r w:rsidRPr="00590996">
        <w:rPr>
          <w:rFonts w:cs="Times New Roman"/>
        </w:rPr>
        <w:t xml:space="preserve">nanoparticle </w:t>
      </w:r>
      <w:r w:rsidR="00AA3154" w:rsidRPr="00590996">
        <w:rPr>
          <w:rFonts w:cs="Times New Roman" w:hint="eastAsia"/>
        </w:rPr>
        <w:t>coating</w:t>
      </w:r>
      <w:r w:rsidRPr="00590996">
        <w:rPr>
          <w:rFonts w:cs="Times New Roman"/>
        </w:rPr>
        <w:t xml:space="preserve">. The resulting suspension was sequentially extruded through polycarbonate membranes with decreasing pore sizes to obtain uniformly </w:t>
      </w:r>
      <w:r w:rsidRPr="00590996">
        <w:rPr>
          <w:rFonts w:cs="Times New Roman" w:hint="eastAsia"/>
        </w:rPr>
        <w:t>membrane-</w:t>
      </w:r>
      <w:r w:rsidRPr="00590996">
        <w:rPr>
          <w:rFonts w:cs="Times New Roman"/>
        </w:rPr>
        <w:t>coated MCI-NP@mPD-</w:t>
      </w:r>
      <w:r w:rsidRPr="00590996">
        <w:rPr>
          <w:rFonts w:cs="Times New Roman" w:hint="eastAsia"/>
        </w:rPr>
        <w:t>1</w:t>
      </w:r>
      <w:r w:rsidRPr="00590996">
        <w:rPr>
          <w:rFonts w:cs="Times New Roman"/>
        </w:rPr>
        <w:t>.</w:t>
      </w:r>
      <w:r w:rsidRPr="00590996">
        <w:rPr>
          <w:rFonts w:cs="Times New Roman" w:hint="eastAsia"/>
        </w:rPr>
        <w:t xml:space="preserve"> </w:t>
      </w:r>
      <w:r w:rsidRPr="00590996">
        <w:rPr>
          <w:rFonts w:cs="Times New Roman"/>
        </w:rPr>
        <w:t>MCI-NP@m was synthesized using the same procedures as described above, but employing wild-type membranes as the coating source.</w:t>
      </w:r>
    </w:p>
    <w:p w14:paraId="35D3FEB6" w14:textId="54065319" w:rsidR="00266A32" w:rsidRPr="00590996" w:rsidRDefault="00266A32" w:rsidP="003748BF">
      <w:pPr>
        <w:spacing w:before="120" w:after="120" w:line="240" w:lineRule="auto"/>
        <w:ind w:firstLineChars="200" w:firstLine="480"/>
        <w:jc w:val="both"/>
        <w:rPr>
          <w:rFonts w:cs="Times New Roman"/>
        </w:rPr>
      </w:pPr>
      <w:r w:rsidRPr="00590996">
        <w:rPr>
          <w:rFonts w:cs="Times New Roman"/>
          <w:i/>
          <w:iCs/>
        </w:rPr>
        <w:t>Physicochemical Characterization</w:t>
      </w:r>
      <w:r w:rsidRPr="00590996">
        <w:rPr>
          <w:rFonts w:cs="Times New Roman" w:hint="eastAsia"/>
        </w:rPr>
        <w:t xml:space="preserve">: </w:t>
      </w:r>
      <w:r w:rsidRPr="00590996">
        <w:rPr>
          <w:rFonts w:cs="Times New Roman"/>
        </w:rPr>
        <w:t>The morphology</w:t>
      </w:r>
      <w:r w:rsidRPr="00590996">
        <w:rPr>
          <w:rFonts w:cs="Times New Roman" w:hint="eastAsia"/>
        </w:rPr>
        <w:t xml:space="preserve"> and structure</w:t>
      </w:r>
      <w:r w:rsidRPr="00590996">
        <w:rPr>
          <w:rFonts w:cs="Times New Roman"/>
        </w:rPr>
        <w:t xml:space="preserve"> of</w:t>
      </w:r>
      <w:r w:rsidRPr="00590996">
        <w:rPr>
          <w:rFonts w:cs="Times New Roman" w:hint="eastAsia"/>
        </w:rPr>
        <w:t xml:space="preserve"> both</w:t>
      </w:r>
      <w:r w:rsidRPr="00590996">
        <w:rPr>
          <w:rFonts w:cs="Times New Roman"/>
        </w:rPr>
        <w:t xml:space="preserve"> MCI-NP</w:t>
      </w:r>
      <w:r w:rsidRPr="00590996">
        <w:rPr>
          <w:rFonts w:cs="Times New Roman" w:hint="eastAsia"/>
        </w:rPr>
        <w:t xml:space="preserve"> and MCI-NP@mPD</w:t>
      </w:r>
      <w:r w:rsidR="00DA467D" w:rsidRPr="00590996">
        <w:rPr>
          <w:rFonts w:cs="Times New Roman" w:hint="eastAsia"/>
        </w:rPr>
        <w:t>-</w:t>
      </w:r>
      <w:r w:rsidRPr="00590996">
        <w:rPr>
          <w:rFonts w:cs="Times New Roman" w:hint="eastAsia"/>
        </w:rPr>
        <w:t>1</w:t>
      </w:r>
      <w:r w:rsidRPr="00590996">
        <w:rPr>
          <w:rFonts w:cs="Times New Roman"/>
        </w:rPr>
        <w:t xml:space="preserve"> w</w:t>
      </w:r>
      <w:r w:rsidRPr="00590996">
        <w:rPr>
          <w:rFonts w:cs="Times New Roman" w:hint="eastAsia"/>
        </w:rPr>
        <w:t>ere</w:t>
      </w:r>
      <w:r w:rsidRPr="00590996">
        <w:rPr>
          <w:rFonts w:cs="Times New Roman"/>
        </w:rPr>
        <w:t xml:space="preserve"> characterized by TEM, and elemental distribution</w:t>
      </w:r>
      <w:r w:rsidRPr="00590996">
        <w:rPr>
          <w:rFonts w:cs="Times New Roman" w:hint="eastAsia"/>
        </w:rPr>
        <w:t xml:space="preserve"> of MCI-NP</w:t>
      </w:r>
      <w:r w:rsidRPr="00590996">
        <w:rPr>
          <w:rFonts w:cs="Times New Roman"/>
        </w:rPr>
        <w:t xml:space="preserve"> was analyzed using HAADF-STEM elemental mapping</w:t>
      </w:r>
      <w:r w:rsidRPr="00590996">
        <w:rPr>
          <w:rFonts w:cs="Times New Roman" w:hint="eastAsia"/>
        </w:rPr>
        <w:t xml:space="preserve"> (</w:t>
      </w:r>
      <w:r w:rsidRPr="00590996">
        <w:rPr>
          <w:rFonts w:cs="Times New Roman"/>
        </w:rPr>
        <w:t>TALOS F2000, FEI</w:t>
      </w:r>
      <w:r w:rsidRPr="00590996">
        <w:rPr>
          <w:rFonts w:cs="Times New Roman" w:hint="eastAsia"/>
        </w:rPr>
        <w:t>)</w:t>
      </w:r>
      <w:r w:rsidRPr="00590996">
        <w:rPr>
          <w:rFonts w:cs="Times New Roman"/>
        </w:rPr>
        <w:t>.</w:t>
      </w:r>
      <w:r w:rsidRPr="00590996">
        <w:rPr>
          <w:rFonts w:cs="Times New Roman" w:hint="eastAsia"/>
        </w:rPr>
        <w:t xml:space="preserve"> </w:t>
      </w:r>
      <w:r w:rsidRPr="00590996">
        <w:rPr>
          <w:rFonts w:cs="Times New Roman"/>
        </w:rPr>
        <w:t>FT-IR spectra were</w:t>
      </w:r>
      <w:r w:rsidRPr="00590996">
        <w:rPr>
          <w:rFonts w:cs="Times New Roman" w:hint="eastAsia"/>
        </w:rPr>
        <w:t xml:space="preserve"> recorded</w:t>
      </w:r>
      <w:r w:rsidRPr="00590996">
        <w:rPr>
          <w:rFonts w:cs="Times New Roman"/>
        </w:rPr>
        <w:t xml:space="preserve"> </w:t>
      </w:r>
      <w:r w:rsidRPr="00590996">
        <w:rPr>
          <w:rFonts w:cs="Times New Roman" w:hint="eastAsia"/>
        </w:rPr>
        <w:t>using</w:t>
      </w:r>
      <w:r w:rsidRPr="00590996">
        <w:rPr>
          <w:rFonts w:cs="Times New Roman"/>
        </w:rPr>
        <w:t xml:space="preserve"> a</w:t>
      </w:r>
      <w:r w:rsidRPr="00590996">
        <w:rPr>
          <w:rFonts w:cs="Times New Roman" w:hint="eastAsia"/>
        </w:rPr>
        <w:t>n</w:t>
      </w:r>
      <w:r w:rsidRPr="00590996">
        <w:rPr>
          <w:rFonts w:cs="Times New Roman"/>
        </w:rPr>
        <w:t xml:space="preserve"> </w:t>
      </w:r>
      <w:r w:rsidRPr="00590996">
        <w:rPr>
          <w:rFonts w:cs="Times New Roman" w:hint="eastAsia"/>
        </w:rPr>
        <w:t>FT-IR</w:t>
      </w:r>
      <w:r w:rsidRPr="00590996">
        <w:rPr>
          <w:rFonts w:cs="Times New Roman"/>
        </w:rPr>
        <w:t xml:space="preserve"> spectrometer (Spectrum-2000</w:t>
      </w:r>
      <w:r w:rsidRPr="00590996">
        <w:rPr>
          <w:rFonts w:cs="Times New Roman" w:hint="eastAsia"/>
        </w:rPr>
        <w:t xml:space="preserve">, </w:t>
      </w:r>
      <w:r w:rsidRPr="00590996">
        <w:rPr>
          <w:rFonts w:cs="Times New Roman"/>
        </w:rPr>
        <w:t xml:space="preserve">PerkinElmer). Optical absorption spectra were </w:t>
      </w:r>
      <w:r w:rsidRPr="00590996">
        <w:rPr>
          <w:rFonts w:cs="Times New Roman" w:hint="eastAsia"/>
        </w:rPr>
        <w:t>obtained</w:t>
      </w:r>
      <w:r w:rsidRPr="00590996">
        <w:rPr>
          <w:rFonts w:cs="Times New Roman"/>
        </w:rPr>
        <w:t xml:space="preserve"> using a UV</w:t>
      </w:r>
      <w:r w:rsidRPr="00590996">
        <w:rPr>
          <w:rFonts w:cs="Times New Roman" w:hint="eastAsia"/>
        </w:rPr>
        <w:t>-V</w:t>
      </w:r>
      <w:r w:rsidRPr="00590996">
        <w:rPr>
          <w:rFonts w:cs="Times New Roman"/>
        </w:rPr>
        <w:t>is spectrophotometer</w:t>
      </w:r>
      <w:r w:rsidRPr="00590996">
        <w:rPr>
          <w:rFonts w:cs="Times New Roman" w:hint="eastAsia"/>
        </w:rPr>
        <w:t xml:space="preserve"> </w:t>
      </w:r>
      <w:r w:rsidRPr="00590996">
        <w:rPr>
          <w:rFonts w:cs="Times New Roman"/>
        </w:rPr>
        <w:t>(SpectraMax M5, Molecular Devices). Hydrodynamic diameter and zeta potential were measured by DLS</w:t>
      </w:r>
      <w:r w:rsidRPr="00590996">
        <w:rPr>
          <w:rFonts w:cs="Times New Roman" w:hint="eastAsia"/>
        </w:rPr>
        <w:t xml:space="preserve"> </w:t>
      </w:r>
      <w:r w:rsidRPr="00590996">
        <w:rPr>
          <w:rFonts w:cs="Times New Roman"/>
        </w:rPr>
        <w:t>(Nano ZS, Malvern Instruments). Surface elemental composition and chemical states were analyzed by XPS</w:t>
      </w:r>
      <w:r w:rsidRPr="00590996">
        <w:rPr>
          <w:rFonts w:cs="Times New Roman" w:hint="eastAsia"/>
        </w:rPr>
        <w:t xml:space="preserve"> (</w:t>
      </w:r>
      <w:r w:rsidRPr="00590996">
        <w:rPr>
          <w:rFonts w:cs="Times New Roman"/>
        </w:rPr>
        <w:t>K-Alpha+</w:t>
      </w:r>
      <w:r w:rsidRPr="00590996">
        <w:rPr>
          <w:rFonts w:cs="Times New Roman" w:hint="eastAsia"/>
        </w:rPr>
        <w:t xml:space="preserve">, </w:t>
      </w:r>
      <w:r w:rsidRPr="00590996">
        <w:rPr>
          <w:rFonts w:cs="Times New Roman"/>
        </w:rPr>
        <w:t>Thermo Scientific</w:t>
      </w:r>
      <w:r w:rsidRPr="00590996">
        <w:rPr>
          <w:rFonts w:cs="Times New Roman" w:hint="eastAsia"/>
        </w:rPr>
        <w:t>)</w:t>
      </w:r>
      <w:r w:rsidRPr="00590996">
        <w:rPr>
          <w:rFonts w:cs="Times New Roman"/>
        </w:rPr>
        <w:t>.</w:t>
      </w:r>
      <w:r w:rsidRPr="00590996">
        <w:rPr>
          <w:rFonts w:cs="Times New Roman" w:hint="eastAsia"/>
        </w:rPr>
        <w:t xml:space="preserve"> </w:t>
      </w:r>
    </w:p>
    <w:p w14:paraId="20DF6A4E" w14:textId="77777777" w:rsidR="00266A32" w:rsidRPr="00590996" w:rsidRDefault="00266A32" w:rsidP="003748BF">
      <w:pPr>
        <w:spacing w:before="120" w:after="120" w:line="240" w:lineRule="auto"/>
        <w:ind w:firstLineChars="200" w:firstLine="480"/>
        <w:jc w:val="both"/>
        <w:rPr>
          <w:rFonts w:cs="Times New Roman"/>
        </w:rPr>
      </w:pPr>
      <w:r w:rsidRPr="00590996">
        <w:rPr>
          <w:rFonts w:cs="Times New Roman" w:hint="eastAsia"/>
        </w:rPr>
        <w:t xml:space="preserve">The loading </w:t>
      </w:r>
      <w:r w:rsidRPr="00590996">
        <w:rPr>
          <w:rFonts w:cs="Times New Roman"/>
        </w:rPr>
        <w:t>content of MSA-2 and ICG in MCI-NP was quantified by high-performance liquid chromatography (HPLC</w:t>
      </w:r>
      <w:r w:rsidRPr="00590996">
        <w:rPr>
          <w:rFonts w:cs="Times New Roman" w:hint="eastAsia"/>
        </w:rPr>
        <w:t xml:space="preserve">; </w:t>
      </w:r>
      <w:r w:rsidRPr="00590996">
        <w:rPr>
          <w:rFonts w:cs="Times New Roman"/>
        </w:rPr>
        <w:t xml:space="preserve">Agilent 1260 Infinity). The pH-dependent drug release behavior was evaluated using a dialysis method. </w:t>
      </w:r>
      <w:r w:rsidRPr="00590996">
        <w:rPr>
          <w:rFonts w:cs="Times New Roman" w:hint="eastAsia"/>
        </w:rPr>
        <w:t xml:space="preserve">Briefly, </w:t>
      </w:r>
      <w:r w:rsidRPr="00590996">
        <w:rPr>
          <w:rFonts w:cs="Times New Roman"/>
        </w:rPr>
        <w:t xml:space="preserve">MCI-NP was dispersed in phosphate-buffered saline (PBS, pH 7.4) or acidic buffer (pH </w:t>
      </w:r>
      <w:r w:rsidRPr="00590996">
        <w:rPr>
          <w:rFonts w:cs="Times New Roman" w:hint="eastAsia"/>
        </w:rPr>
        <w:t>5</w:t>
      </w:r>
      <w:r w:rsidRPr="00590996">
        <w:rPr>
          <w:rFonts w:cs="Times New Roman"/>
        </w:rPr>
        <w:t>.5) and incubated at 37 °C with gentle shaking. At predetermined time points, aliquots of the external buffer were collected for HPLC analysis and replaced with fresh buffer.</w:t>
      </w:r>
      <w:r w:rsidRPr="00590996">
        <w:rPr>
          <w:rFonts w:cs="Times New Roman" w:hint="eastAsia"/>
        </w:rPr>
        <w:t xml:space="preserve"> The</w:t>
      </w:r>
      <w:r w:rsidRPr="00590996">
        <w:rPr>
          <w:rFonts w:cs="Times New Roman"/>
        </w:rPr>
        <w:t xml:space="preserve"> </w:t>
      </w:r>
      <w:r w:rsidRPr="00590996">
        <w:rPr>
          <w:rFonts w:cs="Times New Roman" w:hint="eastAsia"/>
        </w:rPr>
        <w:t>c</w:t>
      </w:r>
      <w:r w:rsidRPr="00590996">
        <w:rPr>
          <w:rFonts w:cs="Times New Roman"/>
        </w:rPr>
        <w:t>umulative release profiles of MSA-2 and ICG were calculated accordingly.</w:t>
      </w:r>
      <w:r w:rsidRPr="00590996">
        <w:rPr>
          <w:rFonts w:cs="Times New Roman" w:hint="eastAsia"/>
        </w:rPr>
        <w:t xml:space="preserve"> R</w:t>
      </w:r>
      <w:r w:rsidRPr="00590996">
        <w:rPr>
          <w:rFonts w:cs="Times New Roman"/>
        </w:rPr>
        <w:t>etention of membrane proteins after coating was examined by Coomassie Brilliant Blue staining and Western blot analysis, with PD-1 used as a representative membrane marker.</w:t>
      </w:r>
    </w:p>
    <w:p w14:paraId="2190CFE1" w14:textId="378AD47E" w:rsidR="00BB5756" w:rsidRPr="00590996" w:rsidRDefault="00BB5756" w:rsidP="003748BF">
      <w:pPr>
        <w:spacing w:before="120" w:after="120" w:line="240" w:lineRule="auto"/>
        <w:ind w:firstLineChars="200" w:firstLine="480"/>
        <w:jc w:val="both"/>
      </w:pPr>
      <w:r w:rsidRPr="00590996">
        <w:t>Photostability and photothermal stability of MCI-NP were systematically evaluated in comparison with free ICG and a physical mixture of Cu</w:t>
      </w:r>
      <w:r w:rsidRPr="00590996">
        <w:rPr>
          <w:rFonts w:hint="eastAsia"/>
          <w:vertAlign w:val="superscript"/>
        </w:rPr>
        <w:t>2+</w:t>
      </w:r>
      <w:r w:rsidRPr="00590996">
        <w:t>, MSA-2, and ICG.</w:t>
      </w:r>
      <w:r w:rsidRPr="00590996">
        <w:rPr>
          <w:rFonts w:hint="eastAsia"/>
        </w:rPr>
        <w:t xml:space="preserve"> </w:t>
      </w:r>
      <w:r w:rsidRPr="00590996">
        <w:rPr>
          <w:rFonts w:cs="Times New Roman"/>
        </w:rPr>
        <w:t>For photostability analysis, free ICG, MCI-NP, and the physical mixture (Cu</w:t>
      </w:r>
      <w:r w:rsidRPr="00590996">
        <w:rPr>
          <w:rFonts w:cs="Times New Roman" w:hint="eastAsia"/>
          <w:vertAlign w:val="superscript"/>
        </w:rPr>
        <w:t>2+</w:t>
      </w:r>
      <w:r w:rsidRPr="00590996">
        <w:rPr>
          <w:rFonts w:cs="Times New Roman"/>
        </w:rPr>
        <w:t>+MSA-2+ICG) were dispersed in deionized water at</w:t>
      </w:r>
      <w:r w:rsidR="00765FAC" w:rsidRPr="00590996">
        <w:rPr>
          <w:rFonts w:cs="Times New Roman" w:hint="eastAsia"/>
        </w:rPr>
        <w:t xml:space="preserve"> ICG</w:t>
      </w:r>
      <w:r w:rsidRPr="00590996">
        <w:rPr>
          <w:rFonts w:cs="Times New Roman"/>
        </w:rPr>
        <w:t xml:space="preserve"> concentration</w:t>
      </w:r>
      <w:r w:rsidR="00765FAC" w:rsidRPr="00590996">
        <w:rPr>
          <w:rFonts w:cs="Times New Roman" w:hint="eastAsia"/>
        </w:rPr>
        <w:t xml:space="preserve"> of</w:t>
      </w:r>
      <w:r w:rsidRPr="00590996">
        <w:rPr>
          <w:rFonts w:cs="Times New Roman"/>
        </w:rPr>
        <w:t xml:space="preserve"> 100 μg·mL</w:t>
      </w:r>
      <w:r w:rsidRPr="00590996">
        <w:rPr>
          <w:rFonts w:cs="Times New Roman" w:hint="eastAsia"/>
          <w:vertAlign w:val="superscript"/>
        </w:rPr>
        <w:t>-1</w:t>
      </w:r>
      <w:r w:rsidRPr="00590996">
        <w:rPr>
          <w:rFonts w:cs="Times New Roman"/>
        </w:rPr>
        <w:t>. All samples were exposed to continuous 808 nm laser irradiation (0.8 W·cm</w:t>
      </w:r>
      <w:r w:rsidRPr="00590996">
        <w:rPr>
          <w:rFonts w:cs="Times New Roman" w:hint="eastAsia"/>
          <w:vertAlign w:val="superscript"/>
        </w:rPr>
        <w:t>-2</w:t>
      </w:r>
      <w:r w:rsidRPr="00590996">
        <w:rPr>
          <w:rFonts w:cs="Times New Roman"/>
        </w:rPr>
        <w:t>). At predetermined time points (2, 4, and 6 min), UV</w:t>
      </w:r>
      <w:r w:rsidRPr="00590996">
        <w:rPr>
          <w:rFonts w:cs="Times New Roman" w:hint="eastAsia"/>
        </w:rPr>
        <w:t>-</w:t>
      </w:r>
      <w:r w:rsidRPr="00590996">
        <w:rPr>
          <w:rFonts w:cs="Times New Roman"/>
        </w:rPr>
        <w:t>Vis</w:t>
      </w:r>
      <w:r w:rsidRPr="00590996">
        <w:rPr>
          <w:rFonts w:cs="Times New Roman" w:hint="eastAsia"/>
        </w:rPr>
        <w:t>-</w:t>
      </w:r>
      <w:r w:rsidRPr="00590996">
        <w:rPr>
          <w:rFonts w:cs="Times New Roman"/>
        </w:rPr>
        <w:t>NIR absorption spectra were immediately recorded to monitor irradiation-induced changes in optical absorbance and evaluate the photostability of each formulation.</w:t>
      </w:r>
      <w:r w:rsidRPr="00590996">
        <w:rPr>
          <w:rFonts w:hint="eastAsia"/>
        </w:rPr>
        <w:t xml:space="preserve"> </w:t>
      </w:r>
      <w:r w:rsidRPr="00590996">
        <w:rPr>
          <w:rFonts w:cs="Times New Roman"/>
        </w:rPr>
        <w:t>For photothermal stability evaluation, free ICG, MCI-NP, and the physical mixture (100 μg·mL</w:t>
      </w:r>
      <w:r w:rsidR="00FC061B" w:rsidRPr="00590996">
        <w:rPr>
          <w:rFonts w:cs="Times New Roman" w:hint="eastAsia"/>
          <w:vertAlign w:val="superscript"/>
        </w:rPr>
        <w:t>-1</w:t>
      </w:r>
      <w:r w:rsidRPr="00590996">
        <w:rPr>
          <w:rFonts w:cs="Times New Roman"/>
        </w:rPr>
        <w:t xml:space="preserve"> for each group) were subjected to multiple cycles of 808 nm laser irradiation (0.8 W·cm</w:t>
      </w:r>
      <w:r w:rsidR="00FC061B" w:rsidRPr="00590996">
        <w:rPr>
          <w:rFonts w:cs="Times New Roman" w:hint="eastAsia"/>
          <w:vertAlign w:val="superscript"/>
        </w:rPr>
        <w:t>-2</w:t>
      </w:r>
      <w:r w:rsidRPr="00590996">
        <w:rPr>
          <w:rFonts w:cs="Times New Roman"/>
        </w:rPr>
        <w:t>, on/off cycles). Temperature changes during each heating</w:t>
      </w:r>
      <w:r w:rsidR="00FC061B" w:rsidRPr="00590996">
        <w:rPr>
          <w:rFonts w:cs="Times New Roman" w:hint="eastAsia"/>
        </w:rPr>
        <w:t>-</w:t>
      </w:r>
      <w:r w:rsidRPr="00590996">
        <w:rPr>
          <w:rFonts w:cs="Times New Roman"/>
        </w:rPr>
        <w:t>cooling cycle were recorded using an infrared thermal imaging system to assess the reproducibility and stability of photothermal conversion performance.</w:t>
      </w:r>
    </w:p>
    <w:p w14:paraId="35FDF22D" w14:textId="45B4E58C" w:rsidR="00266A32" w:rsidRPr="00590996" w:rsidRDefault="006E25F8" w:rsidP="003748BF">
      <w:pPr>
        <w:spacing w:before="120" w:after="120" w:line="240" w:lineRule="auto"/>
        <w:jc w:val="both"/>
        <w:rPr>
          <w:rFonts w:cs="Times New Roman"/>
          <w:b/>
          <w:bCs/>
        </w:rPr>
      </w:pPr>
      <w:r w:rsidRPr="00590996">
        <w:rPr>
          <w:rFonts w:cs="Times New Roman"/>
          <w:b/>
          <w:bCs/>
          <w:i/>
          <w:iCs/>
        </w:rPr>
        <w:t xml:space="preserve">S1.2 </w:t>
      </w:r>
      <w:r w:rsidR="00266A32" w:rsidRPr="00590996">
        <w:rPr>
          <w:rFonts w:cs="Times New Roman"/>
          <w:b/>
          <w:bCs/>
          <w:i/>
          <w:iCs/>
        </w:rPr>
        <w:t xml:space="preserve">In </w:t>
      </w:r>
      <w:r w:rsidR="006927D7" w:rsidRPr="00590996">
        <w:rPr>
          <w:rFonts w:cs="Times New Roman" w:hint="eastAsia"/>
          <w:b/>
          <w:bCs/>
          <w:i/>
          <w:iCs/>
        </w:rPr>
        <w:t>v</w:t>
      </w:r>
      <w:r w:rsidR="00266A32" w:rsidRPr="00590996">
        <w:rPr>
          <w:rFonts w:cs="Times New Roman"/>
          <w:b/>
          <w:bCs/>
          <w:i/>
          <w:iCs/>
        </w:rPr>
        <w:t>itro</w:t>
      </w:r>
      <w:r w:rsidR="00266A32" w:rsidRPr="00590996">
        <w:rPr>
          <w:rFonts w:cs="Times New Roman"/>
          <w:b/>
          <w:bCs/>
        </w:rPr>
        <w:t xml:space="preserve"> </w:t>
      </w:r>
      <w:r w:rsidR="006927D7" w:rsidRPr="00590996">
        <w:rPr>
          <w:rFonts w:cs="Times New Roman" w:hint="eastAsia"/>
          <w:b/>
          <w:bCs/>
        </w:rPr>
        <w:t>s</w:t>
      </w:r>
      <w:r w:rsidR="00266A32" w:rsidRPr="00590996">
        <w:rPr>
          <w:rFonts w:cs="Times New Roman"/>
          <w:b/>
          <w:bCs/>
        </w:rPr>
        <w:t>tudies</w:t>
      </w:r>
    </w:p>
    <w:p w14:paraId="6A4078E5" w14:textId="78EFF808" w:rsidR="00266A32" w:rsidRPr="00590996" w:rsidRDefault="00266A32" w:rsidP="003748BF">
      <w:pPr>
        <w:spacing w:before="120" w:after="120" w:line="240" w:lineRule="auto"/>
        <w:ind w:firstLineChars="200" w:firstLine="480"/>
        <w:jc w:val="both"/>
        <w:rPr>
          <w:rFonts w:cs="Times New Roman"/>
        </w:rPr>
      </w:pPr>
      <w:r w:rsidRPr="00590996">
        <w:rPr>
          <w:rFonts w:cs="Times New Roman"/>
          <w:i/>
          <w:iCs/>
        </w:rPr>
        <w:t>Cell culture and BMDC preparation</w:t>
      </w:r>
      <w:r w:rsidRPr="00590996">
        <w:rPr>
          <w:rFonts w:cs="Times New Roman" w:hint="eastAsia"/>
        </w:rPr>
        <w:t xml:space="preserve">: </w:t>
      </w:r>
      <w:r w:rsidRPr="00590996">
        <w:rPr>
          <w:rFonts w:cs="Times New Roman"/>
        </w:rPr>
        <w:t>Mouse hepatocellular carcinoma Hepa1-6 cells</w:t>
      </w:r>
      <w:r w:rsidRPr="00590996">
        <w:rPr>
          <w:rFonts w:cs="Times New Roman" w:hint="eastAsia"/>
        </w:rPr>
        <w:t xml:space="preserve"> and</w:t>
      </w:r>
      <w:r w:rsidRPr="00590996">
        <w:rPr>
          <w:rFonts w:cs="Times New Roman"/>
        </w:rPr>
        <w:t xml:space="preserve"> Hepa1-6-Luc cells, normal mouse hepatocytes (BNL CL.2), and 293FT cells were cultured in Dulbecco’s modified Eagle medium</w:t>
      </w:r>
      <w:r w:rsidRPr="00590996">
        <w:rPr>
          <w:rFonts w:cs="Times New Roman" w:hint="eastAsia"/>
        </w:rPr>
        <w:t xml:space="preserve"> (DME</w:t>
      </w:r>
      <w:r w:rsidR="00D74F65" w:rsidRPr="00590996">
        <w:rPr>
          <w:rFonts w:cs="Times New Roman" w:hint="eastAsia"/>
        </w:rPr>
        <w:t>M</w:t>
      </w:r>
      <w:r w:rsidRPr="00590996">
        <w:rPr>
          <w:rFonts w:cs="Times New Roman" w:hint="eastAsia"/>
        </w:rPr>
        <w:t>)</w:t>
      </w:r>
      <w:r w:rsidRPr="00590996">
        <w:rPr>
          <w:rFonts w:cs="Times New Roman"/>
        </w:rPr>
        <w:t xml:space="preserve"> supplemented with 10% fetal bovine serum</w:t>
      </w:r>
      <w:r w:rsidRPr="00590996">
        <w:rPr>
          <w:rFonts w:cs="Times New Roman" w:hint="eastAsia"/>
        </w:rPr>
        <w:t xml:space="preserve"> (FBS)</w:t>
      </w:r>
      <w:r w:rsidRPr="00590996">
        <w:rPr>
          <w:rFonts w:cs="Times New Roman"/>
        </w:rPr>
        <w:t xml:space="preserve"> and 1% penicillin</w:t>
      </w:r>
      <w:r w:rsidRPr="00590996">
        <w:rPr>
          <w:rFonts w:cs="Times New Roman" w:hint="eastAsia"/>
        </w:rPr>
        <w:t>-</w:t>
      </w:r>
      <w:r w:rsidRPr="00590996">
        <w:rPr>
          <w:rFonts w:cs="Times New Roman"/>
        </w:rPr>
        <w:t>streptomycin under standard conditions (37 °C, 5% CO</w:t>
      </w:r>
      <w:r w:rsidRPr="00590996">
        <w:rPr>
          <w:rFonts w:cs="Times New Roman" w:hint="eastAsia"/>
          <w:vertAlign w:val="subscript"/>
        </w:rPr>
        <w:t>2</w:t>
      </w:r>
      <w:r w:rsidRPr="00590996">
        <w:rPr>
          <w:rFonts w:cs="Times New Roman"/>
        </w:rPr>
        <w:t>). Bone marrow</w:t>
      </w:r>
      <w:r w:rsidRPr="00590996">
        <w:rPr>
          <w:rFonts w:cs="Times New Roman" w:hint="eastAsia"/>
        </w:rPr>
        <w:t>-</w:t>
      </w:r>
      <w:r w:rsidRPr="00590996">
        <w:rPr>
          <w:rFonts w:cs="Times New Roman"/>
        </w:rPr>
        <w:t xml:space="preserve">derived dendritic cells (BMDCs) were generated from murine bone marrow progenitors </w:t>
      </w:r>
      <w:r w:rsidRPr="00590996">
        <w:rPr>
          <w:rFonts w:cs="Times New Roman" w:hint="eastAsia"/>
        </w:rPr>
        <w:t>according to</w:t>
      </w:r>
      <w:r w:rsidRPr="00590996">
        <w:rPr>
          <w:rFonts w:cs="Times New Roman"/>
        </w:rPr>
        <w:t xml:space="preserve"> established protocols and used at an immature stage unless otherwise specified.</w:t>
      </w:r>
    </w:p>
    <w:p w14:paraId="466ACD25" w14:textId="28817897" w:rsidR="00266A32" w:rsidRPr="00590996" w:rsidRDefault="00266A32" w:rsidP="003748BF">
      <w:pPr>
        <w:spacing w:before="120" w:after="120" w:line="240" w:lineRule="auto"/>
        <w:ind w:firstLineChars="200" w:firstLine="480"/>
        <w:jc w:val="both"/>
        <w:rPr>
          <w:rFonts w:cs="Times New Roman"/>
        </w:rPr>
      </w:pPr>
      <w:r w:rsidRPr="00590996">
        <w:rPr>
          <w:rFonts w:cs="Times New Roman"/>
          <w:i/>
          <w:iCs/>
        </w:rPr>
        <w:t>Cellular uptake</w:t>
      </w:r>
      <w:r w:rsidRPr="00590996">
        <w:rPr>
          <w:rFonts w:cs="Times New Roman" w:hint="eastAsia"/>
        </w:rPr>
        <w:t xml:space="preserve">: </w:t>
      </w:r>
      <w:r w:rsidRPr="00590996">
        <w:rPr>
          <w:rFonts w:cs="Times New Roman"/>
        </w:rPr>
        <w:t xml:space="preserve">Cellular uptake of </w:t>
      </w:r>
      <w:r w:rsidRPr="00590996">
        <w:rPr>
          <w:rFonts w:cs="Times New Roman" w:hint="eastAsia"/>
        </w:rPr>
        <w:t>different formulations</w:t>
      </w:r>
      <w:r w:rsidRPr="00590996">
        <w:rPr>
          <w:rFonts w:cs="Times New Roman"/>
        </w:rPr>
        <w:t xml:space="preserve"> was evaluated by confocal laser scanning microscopy (CLSM</w:t>
      </w:r>
      <w:r w:rsidRPr="00590996">
        <w:rPr>
          <w:rFonts w:cs="Times New Roman" w:hint="eastAsia"/>
        </w:rPr>
        <w:t xml:space="preserve">; </w:t>
      </w:r>
      <w:r w:rsidRPr="00590996">
        <w:rPr>
          <w:rFonts w:cs="Times New Roman"/>
        </w:rPr>
        <w:t xml:space="preserve">Zeiss LSM780) based on the intrinsic fluorescence of ICG. Hepa1-6 cells were incubated with MCI-NP or membrane-coated formulations at </w:t>
      </w:r>
      <w:r w:rsidRPr="00590996">
        <w:rPr>
          <w:rFonts w:cs="Times New Roman" w:hint="eastAsia"/>
        </w:rPr>
        <w:t>a final</w:t>
      </w:r>
      <w:r w:rsidRPr="00590996">
        <w:rPr>
          <w:rFonts w:cs="Times New Roman"/>
        </w:rPr>
        <w:t xml:space="preserve"> concentration</w:t>
      </w:r>
      <w:r w:rsidRPr="00590996">
        <w:rPr>
          <w:rFonts w:cs="Times New Roman" w:hint="eastAsia"/>
        </w:rPr>
        <w:t xml:space="preserve"> of </w:t>
      </w:r>
      <w:r w:rsidRPr="00590996">
        <w:rPr>
          <w:rFonts w:cs="Times New Roman"/>
        </w:rPr>
        <w:t>50 μg·mL</w:t>
      </w:r>
      <w:r w:rsidRPr="00590996">
        <w:rPr>
          <w:rFonts w:cs="Times New Roman" w:hint="eastAsia"/>
          <w:vertAlign w:val="superscript"/>
        </w:rPr>
        <w:t>-1</w:t>
      </w:r>
      <w:r w:rsidRPr="00590996">
        <w:rPr>
          <w:rFonts w:cs="Times New Roman"/>
        </w:rPr>
        <w:t xml:space="preserve"> for 2, 4, or 8 h, followed by fixation and nuclear counterstaining prior to imaging. To </w:t>
      </w:r>
      <w:r w:rsidRPr="00590996">
        <w:rPr>
          <w:rFonts w:cs="Times New Roman" w:hint="eastAsia"/>
        </w:rPr>
        <w:t>evaluate</w:t>
      </w:r>
      <w:r w:rsidRPr="00590996">
        <w:rPr>
          <w:rFonts w:cs="Times New Roman"/>
        </w:rPr>
        <w:t xml:space="preserve"> PD-1/PD-L1</w:t>
      </w:r>
      <w:r w:rsidRPr="00590996">
        <w:rPr>
          <w:rFonts w:cs="Times New Roman" w:hint="eastAsia"/>
        </w:rPr>
        <w:t>-</w:t>
      </w:r>
      <w:r w:rsidRPr="00590996">
        <w:rPr>
          <w:rFonts w:cs="Times New Roman"/>
        </w:rPr>
        <w:t xml:space="preserve">dependent uptake, Hepa1-6 cells were pretreated with </w:t>
      </w:r>
      <w:r w:rsidRPr="00590996">
        <w:rPr>
          <w:rFonts w:cs="Times New Roman" w:hint="eastAsia"/>
        </w:rPr>
        <w:t>IFN</w:t>
      </w:r>
      <w:r w:rsidRPr="00590996">
        <w:rPr>
          <w:rFonts w:cs="Times New Roman"/>
        </w:rPr>
        <w:t>-γ</w:t>
      </w:r>
      <w:r w:rsidRPr="00590996">
        <w:rPr>
          <w:rFonts w:cs="Times New Roman" w:hint="eastAsia"/>
        </w:rPr>
        <w:t xml:space="preserve"> </w:t>
      </w:r>
      <w:r w:rsidRPr="00590996">
        <w:rPr>
          <w:rFonts w:cs="Times New Roman"/>
        </w:rPr>
        <w:t>(20 ng·mL</w:t>
      </w:r>
      <w:r w:rsidRPr="00590996">
        <w:rPr>
          <w:rFonts w:cs="Times New Roman" w:hint="eastAsia"/>
          <w:vertAlign w:val="superscript"/>
        </w:rPr>
        <w:t>-1</w:t>
      </w:r>
      <w:r w:rsidRPr="00590996">
        <w:rPr>
          <w:rFonts w:cs="Times New Roman"/>
        </w:rPr>
        <w:t>) for 24 h to induce PD-L1 expression and subsequently incubated with MCI-NP@mPD-1 or control nanoparticles</w:t>
      </w:r>
      <w:r w:rsidRPr="00590996">
        <w:rPr>
          <w:rFonts w:cs="Times New Roman" w:hint="eastAsia"/>
        </w:rPr>
        <w:t xml:space="preserve"> for 4 h</w:t>
      </w:r>
      <w:r w:rsidRPr="00590996">
        <w:rPr>
          <w:rFonts w:cs="Times New Roman"/>
        </w:rPr>
        <w:t xml:space="preserve">. </w:t>
      </w:r>
      <w:r w:rsidRPr="00590996">
        <w:rPr>
          <w:rFonts w:cs="Times New Roman" w:hint="eastAsia"/>
        </w:rPr>
        <w:t>For</w:t>
      </w:r>
      <w:r w:rsidRPr="00590996">
        <w:rPr>
          <w:rFonts w:cs="Times New Roman"/>
        </w:rPr>
        <w:t xml:space="preserve"> blocking experiments, cells were preincubated with a PD-L1</w:t>
      </w:r>
      <w:r w:rsidRPr="00590996">
        <w:rPr>
          <w:rFonts w:cs="Times New Roman" w:hint="eastAsia"/>
        </w:rPr>
        <w:t>-</w:t>
      </w:r>
      <w:r w:rsidRPr="00590996">
        <w:rPr>
          <w:rFonts w:cs="Times New Roman"/>
        </w:rPr>
        <w:t>neutralizing antibody</w:t>
      </w:r>
      <w:r w:rsidRPr="00590996">
        <w:rPr>
          <w:rFonts w:cs="Times New Roman" w:hint="eastAsia"/>
        </w:rPr>
        <w:t xml:space="preserve"> (</w:t>
      </w:r>
      <w:r w:rsidRPr="00590996">
        <w:rPr>
          <w:rFonts w:cs="Times New Roman"/>
        </w:rPr>
        <w:t>BioXCell, BE0383</w:t>
      </w:r>
      <w:r w:rsidRPr="00590996">
        <w:rPr>
          <w:rFonts w:cs="Times New Roman" w:hint="eastAsia"/>
        </w:rPr>
        <w:t>)</w:t>
      </w:r>
      <w:r w:rsidRPr="00590996">
        <w:rPr>
          <w:rFonts w:cs="Times New Roman"/>
        </w:rPr>
        <w:t xml:space="preserve"> for 1 h prior to nanoparticle exposure.</w:t>
      </w:r>
      <w:r w:rsidR="00093041" w:rsidRPr="00590996">
        <w:rPr>
          <w:rFonts w:cs="Times New Roman" w:hint="eastAsia"/>
        </w:rPr>
        <w:t xml:space="preserve"> </w:t>
      </w:r>
      <w:r w:rsidR="00093041" w:rsidRPr="00590996">
        <w:rPr>
          <w:rFonts w:cs="Times New Roman"/>
        </w:rPr>
        <w:t>To further evaluate the uptake of MCI-NP by antigen-presenting cells, BMDCs were seeded in 6-well plates at a density of 1 × 10</w:t>
      </w:r>
      <w:r w:rsidR="00093041" w:rsidRPr="00590996">
        <w:rPr>
          <w:rFonts w:cs="Times New Roman" w:hint="eastAsia"/>
          <w:vertAlign w:val="superscript"/>
        </w:rPr>
        <w:t>6</w:t>
      </w:r>
      <w:r w:rsidR="00093041" w:rsidRPr="00590996">
        <w:rPr>
          <w:rFonts w:cs="Times New Roman"/>
        </w:rPr>
        <w:t xml:space="preserve"> cells per well and incubated with MCI-NP-containing medium for 2, 4, or 6 h. After incubation, cells were washed three times with PBS to remove free nanoparticles and collected for flow cytometric analysis based on the intrinsic fluorescence of ICG.</w:t>
      </w:r>
    </w:p>
    <w:p w14:paraId="0A4CEA1F" w14:textId="77777777" w:rsidR="00266A32" w:rsidRPr="00590996" w:rsidRDefault="00266A32" w:rsidP="003748BF">
      <w:pPr>
        <w:spacing w:before="120" w:after="120" w:line="240" w:lineRule="auto"/>
        <w:ind w:firstLineChars="200" w:firstLine="480"/>
        <w:jc w:val="both"/>
        <w:rPr>
          <w:rFonts w:cs="Times New Roman"/>
        </w:rPr>
      </w:pPr>
      <w:r w:rsidRPr="00590996">
        <w:rPr>
          <w:rFonts w:cs="Times New Roman"/>
          <w:i/>
          <w:iCs/>
        </w:rPr>
        <w:t>In vitro cytotoxicity and photothermal killing</w:t>
      </w:r>
      <w:r w:rsidRPr="00590996">
        <w:rPr>
          <w:rFonts w:cs="Times New Roman" w:hint="eastAsia"/>
        </w:rPr>
        <w:t xml:space="preserve">: </w:t>
      </w:r>
      <w:r w:rsidRPr="00590996">
        <w:rPr>
          <w:rFonts w:cs="Times New Roman"/>
        </w:rPr>
        <w:t>Cell viability was assessed using Cell</w:t>
      </w:r>
      <w:r w:rsidRPr="00590996">
        <w:rPr>
          <w:rFonts w:cs="Times New Roman" w:hint="eastAsia"/>
        </w:rPr>
        <w:t xml:space="preserve"> </w:t>
      </w:r>
      <w:r w:rsidRPr="00590996">
        <w:rPr>
          <w:rFonts w:cs="Times New Roman"/>
        </w:rPr>
        <w:t>Counting Kit-8 (CCK-8, Dojindo Laboratories, Kumamoto, Japan). Hepa1-6 and BNL CL.2 cells were incubated with MCI-NP at concentrations ranging from 0 to 400 μg·mL</w:t>
      </w:r>
      <w:r w:rsidRPr="00590996">
        <w:rPr>
          <w:rFonts w:cs="Times New Roman" w:hint="eastAsia"/>
          <w:vertAlign w:val="superscript"/>
        </w:rPr>
        <w:t>-1</w:t>
      </w:r>
      <w:r w:rsidRPr="00590996">
        <w:rPr>
          <w:rFonts w:cs="Times New Roman"/>
        </w:rPr>
        <w:t xml:space="preserve"> for 48 h, followed by viability assessment according to the manufacturer’s instructions. For photothermal cytotoxicity, Hepa1-6 cells were incubated with MCI-NP at</w:t>
      </w:r>
      <w:r w:rsidRPr="00590996">
        <w:rPr>
          <w:rFonts w:cs="Times New Roman" w:hint="eastAsia"/>
        </w:rPr>
        <w:t xml:space="preserve"> the</w:t>
      </w:r>
      <w:r w:rsidRPr="00590996">
        <w:rPr>
          <w:rFonts w:cs="Times New Roman"/>
        </w:rPr>
        <w:t xml:space="preserve"> indicated concentrations for 24 h, irradiated with an 808 nm laser (0.8 W·cm</w:t>
      </w:r>
      <w:r w:rsidRPr="00590996">
        <w:rPr>
          <w:rFonts w:cs="Times New Roman" w:hint="eastAsia"/>
          <w:vertAlign w:val="superscript"/>
        </w:rPr>
        <w:t>-2</w:t>
      </w:r>
      <w:r w:rsidRPr="00590996">
        <w:rPr>
          <w:rFonts w:cs="Times New Roman"/>
        </w:rPr>
        <w:t>, 10 min), and further cultured for 24 h before viability analysis. Live/dead staining</w:t>
      </w:r>
      <w:r w:rsidRPr="00590996">
        <w:rPr>
          <w:rFonts w:cs="Times New Roman" w:hint="eastAsia"/>
        </w:rPr>
        <w:t xml:space="preserve"> </w:t>
      </w:r>
      <w:r w:rsidRPr="00590996">
        <w:rPr>
          <w:rFonts w:cs="Times New Roman"/>
        </w:rPr>
        <w:t>(Invitrogen, Eugene, OR, USA) and Annexin V/PI apoptosis assays</w:t>
      </w:r>
      <w:r w:rsidRPr="00590996">
        <w:rPr>
          <w:rFonts w:cs="Times New Roman" w:hint="eastAsia"/>
        </w:rPr>
        <w:t xml:space="preserve"> </w:t>
      </w:r>
      <w:r w:rsidRPr="00590996">
        <w:rPr>
          <w:rFonts w:cs="Times New Roman"/>
        </w:rPr>
        <w:t>(Dojindo Laboratories, Kumamoto, Japan) were additionally performed to visualize and quantify photothermal-induced cell death.</w:t>
      </w:r>
    </w:p>
    <w:p w14:paraId="43BE6D65" w14:textId="01399B42" w:rsidR="00266A32" w:rsidRPr="00590996" w:rsidRDefault="00266A32" w:rsidP="003748BF">
      <w:pPr>
        <w:spacing w:before="120" w:after="120" w:line="240" w:lineRule="auto"/>
        <w:ind w:firstLineChars="200" w:firstLine="480"/>
        <w:jc w:val="both"/>
        <w:rPr>
          <w:rFonts w:cs="Times New Roman"/>
        </w:rPr>
      </w:pPr>
      <w:r w:rsidRPr="00590996">
        <w:rPr>
          <w:rFonts w:cs="Times New Roman"/>
          <w:i/>
          <w:iCs/>
        </w:rPr>
        <w:t>Evaluation of immunogenic cell death</w:t>
      </w:r>
      <w:r w:rsidRPr="00590996">
        <w:rPr>
          <w:rFonts w:cs="Times New Roman" w:hint="eastAsia"/>
        </w:rPr>
        <w:t xml:space="preserve">: </w:t>
      </w:r>
      <w:r w:rsidRPr="00590996">
        <w:rPr>
          <w:rFonts w:cs="Times New Roman"/>
        </w:rPr>
        <w:t>Immunogenic cell death (ICD) was assessed by analyzing calreticulin (CRT) exposure, high-mobility group box 1 (HMGB1) translocation, and extracellular ATP release. Hepa1-6 cells were treated with MCI-NP (60 μg·mL</w:t>
      </w:r>
      <w:r w:rsidRPr="00590996">
        <w:rPr>
          <w:rFonts w:cs="Times New Roman" w:hint="eastAsia"/>
          <w:vertAlign w:val="superscript"/>
        </w:rPr>
        <w:t>-1</w:t>
      </w:r>
      <w:r w:rsidRPr="00590996">
        <w:rPr>
          <w:rFonts w:cs="Times New Roman"/>
        </w:rPr>
        <w:t>) with or without laser irradiation (808 nm, 0.8 W·cm</w:t>
      </w:r>
      <w:r w:rsidRPr="00590996">
        <w:rPr>
          <w:rFonts w:cs="Times New Roman" w:hint="eastAsia"/>
          <w:vertAlign w:val="superscript"/>
        </w:rPr>
        <w:t>-2</w:t>
      </w:r>
      <w:r w:rsidRPr="00590996">
        <w:rPr>
          <w:rFonts w:cs="Times New Roman"/>
        </w:rPr>
        <w:t>, 10 min), followed by 24 h incubation.</w:t>
      </w:r>
      <w:r w:rsidRPr="00590996">
        <w:rPr>
          <w:rFonts w:cs="Times New Roman" w:hint="eastAsia"/>
        </w:rPr>
        <w:t xml:space="preserve"> </w:t>
      </w:r>
      <w:r w:rsidRPr="00590996">
        <w:rPr>
          <w:rFonts w:cs="Times New Roman"/>
        </w:rPr>
        <w:t>CRT</w:t>
      </w:r>
      <w:r w:rsidRPr="00590996">
        <w:rPr>
          <w:rFonts w:cs="Times New Roman" w:hint="eastAsia"/>
        </w:rPr>
        <w:t xml:space="preserve"> (Abcam, ab</w:t>
      </w:r>
      <w:r w:rsidRPr="00590996">
        <w:rPr>
          <w:rFonts w:hint="eastAsia"/>
        </w:rPr>
        <w:t>92516</w:t>
      </w:r>
      <w:r w:rsidRPr="00590996">
        <w:rPr>
          <w:rFonts w:cs="Times New Roman" w:hint="eastAsia"/>
        </w:rPr>
        <w:t>)</w:t>
      </w:r>
      <w:r w:rsidRPr="00590996">
        <w:rPr>
          <w:rFonts w:cs="Times New Roman"/>
        </w:rPr>
        <w:t xml:space="preserve"> exposure and HMGB</w:t>
      </w:r>
      <w:r w:rsidR="006927D7" w:rsidRPr="00590996">
        <w:rPr>
          <w:rFonts w:cs="Times New Roman" w:hint="eastAsia"/>
        </w:rPr>
        <w:t>-</w:t>
      </w:r>
      <w:r w:rsidRPr="00590996">
        <w:rPr>
          <w:rFonts w:cs="Times New Roman"/>
        </w:rPr>
        <w:t>1</w:t>
      </w:r>
      <w:r w:rsidRPr="00590996">
        <w:rPr>
          <w:rFonts w:cs="Times New Roman" w:hint="eastAsia"/>
        </w:rPr>
        <w:t xml:space="preserve"> (Abcam, ab</w:t>
      </w:r>
      <w:r w:rsidRPr="00590996">
        <w:rPr>
          <w:rFonts w:hint="eastAsia"/>
        </w:rPr>
        <w:t>18256</w:t>
      </w:r>
      <w:r w:rsidRPr="00590996">
        <w:rPr>
          <w:rFonts w:cs="Times New Roman" w:hint="eastAsia"/>
        </w:rPr>
        <w:t>)</w:t>
      </w:r>
      <w:r w:rsidRPr="00590996">
        <w:rPr>
          <w:rFonts w:cs="Times New Roman"/>
        </w:rPr>
        <w:t xml:space="preserve"> subcellular localization were examined by immunofluorescence staining and CLSM. For ATP analysis, culture supernatants were collected 4 h after treatment, cleared by centrifugation, and analyzed using a luciferase-based ATP assay according to the manufacturer’s protocol</w:t>
      </w:r>
      <w:r w:rsidRPr="00590996">
        <w:rPr>
          <w:rFonts w:cs="Times New Roman" w:hint="eastAsia"/>
        </w:rPr>
        <w:t xml:space="preserve"> (</w:t>
      </w:r>
      <w:r w:rsidRPr="00590996">
        <w:rPr>
          <w:rFonts w:cs="Times New Roman"/>
        </w:rPr>
        <w:t>Beyotime, S0026</w:t>
      </w:r>
      <w:r w:rsidRPr="00590996">
        <w:rPr>
          <w:rFonts w:cs="Times New Roman" w:hint="eastAsia"/>
        </w:rPr>
        <w:t>)</w:t>
      </w:r>
      <w:r w:rsidRPr="00590996">
        <w:rPr>
          <w:rFonts w:cs="Times New Roman"/>
        </w:rPr>
        <w:t>.</w:t>
      </w:r>
    </w:p>
    <w:p w14:paraId="7B779620" w14:textId="77777777" w:rsidR="00266A32" w:rsidRPr="00590996" w:rsidRDefault="00266A32" w:rsidP="003748BF">
      <w:pPr>
        <w:spacing w:before="120" w:after="120" w:line="240" w:lineRule="auto"/>
        <w:ind w:firstLine="480"/>
        <w:jc w:val="both"/>
        <w:rPr>
          <w:rFonts w:cs="Times New Roman"/>
        </w:rPr>
      </w:pPr>
      <w:r w:rsidRPr="00590996">
        <w:rPr>
          <w:rFonts w:cs="Times New Roman"/>
          <w:i/>
          <w:iCs/>
        </w:rPr>
        <w:t>BMDC maturation and STING pathway activation</w:t>
      </w:r>
      <w:r w:rsidRPr="00590996">
        <w:rPr>
          <w:rFonts w:cs="Times New Roman" w:hint="eastAsia"/>
        </w:rPr>
        <w:t xml:space="preserve">: </w:t>
      </w:r>
      <w:r w:rsidRPr="00590996">
        <w:rPr>
          <w:rFonts w:cs="Times New Roman"/>
        </w:rPr>
        <w:t>To evaluate BMDC maturation, culture supernatants from treated Hepa1-6 cells were collected 24 h after treatment and mixed with fresh medium at a 1:1 ratio to generate conditioned media. Immature BMDCs were incubated with conditioned media for 24 h, and maturation was analyzed by flow cytometry based on CD80</w:t>
      </w:r>
      <w:r w:rsidRPr="00590996">
        <w:rPr>
          <w:rFonts w:cs="Times New Roman" w:hint="eastAsia"/>
        </w:rPr>
        <w:t xml:space="preserve"> </w:t>
      </w:r>
      <w:r w:rsidRPr="00590996">
        <w:rPr>
          <w:rFonts w:cs="Times New Roman"/>
        </w:rPr>
        <w:t>(eBioscience™, 12-0801-82) and CD86</w:t>
      </w:r>
      <w:r w:rsidRPr="00590996">
        <w:rPr>
          <w:rFonts w:cs="Times New Roman" w:hint="eastAsia"/>
        </w:rPr>
        <w:t xml:space="preserve"> </w:t>
      </w:r>
      <w:r w:rsidRPr="00590996">
        <w:rPr>
          <w:rFonts w:cs="Times New Roman"/>
        </w:rPr>
        <w:t>(eBioscience™, 25-0862-82) expression within the CD11c</w:t>
      </w:r>
      <w:r w:rsidRPr="00590996">
        <w:rPr>
          <w:rFonts w:cs="Times New Roman" w:hint="eastAsia"/>
          <w:vertAlign w:val="superscript"/>
        </w:rPr>
        <w:t>+</w:t>
      </w:r>
      <w:r w:rsidRPr="00590996">
        <w:rPr>
          <w:rFonts w:cs="Times New Roman"/>
        </w:rPr>
        <w:t xml:space="preserve"> (eBioscience™, 17-0114-82)</w:t>
      </w:r>
      <w:r w:rsidRPr="00590996">
        <w:rPr>
          <w:rFonts w:cs="Times New Roman" w:hint="eastAsia"/>
        </w:rPr>
        <w:t xml:space="preserve"> </w:t>
      </w:r>
      <w:r w:rsidRPr="00590996">
        <w:rPr>
          <w:rFonts w:cs="Times New Roman"/>
        </w:rPr>
        <w:t>population. Cytokine secretion</w:t>
      </w:r>
      <w:r w:rsidRPr="00590996">
        <w:rPr>
          <w:rFonts w:cs="Times New Roman" w:hint="eastAsia"/>
        </w:rPr>
        <w:t>, including</w:t>
      </w:r>
      <w:r w:rsidRPr="00590996">
        <w:rPr>
          <w:rFonts w:cs="Times New Roman"/>
        </w:rPr>
        <w:t xml:space="preserve"> TNF-α</w:t>
      </w:r>
      <w:r w:rsidRPr="00590996">
        <w:rPr>
          <w:rFonts w:cs="Times New Roman" w:hint="eastAsia"/>
        </w:rPr>
        <w:t xml:space="preserve"> (</w:t>
      </w:r>
      <w:r w:rsidRPr="00590996">
        <w:rPr>
          <w:rFonts w:cs="Times New Roman"/>
        </w:rPr>
        <w:t>Boster, EK0527</w:t>
      </w:r>
      <w:r w:rsidRPr="00590996">
        <w:rPr>
          <w:rFonts w:cs="Times New Roman" w:hint="eastAsia"/>
        </w:rPr>
        <w:t>)</w:t>
      </w:r>
      <w:r w:rsidRPr="00590996">
        <w:rPr>
          <w:rFonts w:cs="Times New Roman"/>
        </w:rPr>
        <w:t xml:space="preserve"> and IL-6</w:t>
      </w:r>
      <w:r w:rsidRPr="00590996">
        <w:rPr>
          <w:rFonts w:cs="Times New Roman" w:hint="eastAsia"/>
        </w:rPr>
        <w:t xml:space="preserve"> (</w:t>
      </w:r>
      <w:r w:rsidRPr="00590996">
        <w:rPr>
          <w:rFonts w:cs="Times New Roman"/>
        </w:rPr>
        <w:t>Boster, EK0411</w:t>
      </w:r>
      <w:r w:rsidRPr="00590996">
        <w:rPr>
          <w:rFonts w:cs="Times New Roman" w:hint="eastAsia"/>
        </w:rPr>
        <w:t>),</w:t>
      </w:r>
      <w:r w:rsidRPr="00590996">
        <w:rPr>
          <w:rFonts w:cs="Times New Roman"/>
        </w:rPr>
        <w:t xml:space="preserve"> was quantified by ELISA.</w:t>
      </w:r>
      <w:r w:rsidRPr="00590996">
        <w:rPr>
          <w:rFonts w:cs="Times New Roman" w:hint="eastAsia"/>
        </w:rPr>
        <w:t xml:space="preserve"> </w:t>
      </w:r>
    </w:p>
    <w:p w14:paraId="35C7530B" w14:textId="62CEBBB8" w:rsidR="00266A32" w:rsidRPr="00590996" w:rsidRDefault="00266A32" w:rsidP="003748BF">
      <w:pPr>
        <w:spacing w:before="120" w:after="120" w:line="240" w:lineRule="auto"/>
        <w:ind w:firstLine="480"/>
        <w:jc w:val="both"/>
        <w:rPr>
          <w:rFonts w:cs="Times New Roman"/>
        </w:rPr>
      </w:pPr>
      <w:r w:rsidRPr="00590996">
        <w:rPr>
          <w:rFonts w:cs="Times New Roman"/>
        </w:rPr>
        <w:t>For direct assessment of STING signaling, BMDCs were incubated with MCI-NP at concentrations of 0, 20, and 40 μg·mL</w:t>
      </w:r>
      <w:r w:rsidRPr="00590996">
        <w:rPr>
          <w:rFonts w:cs="Times New Roman" w:hint="eastAsia"/>
          <w:vertAlign w:val="superscript"/>
        </w:rPr>
        <w:t>-1</w:t>
      </w:r>
      <w:r w:rsidRPr="00590996">
        <w:rPr>
          <w:rFonts w:cs="Times New Roman"/>
        </w:rPr>
        <w:t xml:space="preserve"> for 48 h. IFN-β</w:t>
      </w:r>
      <w:r w:rsidRPr="00590996">
        <w:rPr>
          <w:rFonts w:cs="Times New Roman" w:hint="eastAsia"/>
        </w:rPr>
        <w:t xml:space="preserve"> (</w:t>
      </w:r>
      <w:r w:rsidRPr="00590996">
        <w:rPr>
          <w:rFonts w:cs="Times New Roman"/>
        </w:rPr>
        <w:t>FANKEW, F2124-A</w:t>
      </w:r>
      <w:r w:rsidRPr="00590996">
        <w:rPr>
          <w:rFonts w:cs="Times New Roman" w:hint="eastAsia"/>
        </w:rPr>
        <w:t>)</w:t>
      </w:r>
      <w:r w:rsidRPr="00590996">
        <w:rPr>
          <w:rFonts w:cs="Times New Roman"/>
        </w:rPr>
        <w:t xml:space="preserve"> and IL-6</w:t>
      </w:r>
      <w:r w:rsidRPr="00590996">
        <w:rPr>
          <w:rFonts w:cs="Times New Roman" w:hint="eastAsia"/>
        </w:rPr>
        <w:t xml:space="preserve"> (</w:t>
      </w:r>
      <w:r w:rsidRPr="00590996">
        <w:rPr>
          <w:rFonts w:hint="eastAsia"/>
        </w:rPr>
        <w:t>Boster, EK0411</w:t>
      </w:r>
      <w:r w:rsidRPr="00590996">
        <w:rPr>
          <w:rFonts w:cs="Times New Roman" w:hint="eastAsia"/>
        </w:rPr>
        <w:t>)</w:t>
      </w:r>
      <w:r w:rsidRPr="00590996">
        <w:rPr>
          <w:rFonts w:cs="Times New Roman"/>
        </w:rPr>
        <w:t xml:space="preserve"> levels in the culture supernatants were quantified by ELISA. Activation of the STING pathway was further examined by Western blot analysis of total and phosphorylated STING</w:t>
      </w:r>
      <w:r w:rsidRPr="00590996">
        <w:rPr>
          <w:rFonts w:cs="Times New Roman" w:hint="eastAsia"/>
        </w:rPr>
        <w:t xml:space="preserve"> (CST, </w:t>
      </w:r>
      <w:r w:rsidR="00146437" w:rsidRPr="00590996">
        <w:rPr>
          <w:rFonts w:cs="Times New Roman" w:hint="eastAsia"/>
        </w:rPr>
        <w:t>13647</w:t>
      </w:r>
      <w:r w:rsidRPr="00590996">
        <w:rPr>
          <w:rFonts w:cs="Times New Roman" w:hint="eastAsia"/>
        </w:rPr>
        <w:t xml:space="preserve">; CST, </w:t>
      </w:r>
      <w:r w:rsidRPr="00590996">
        <w:rPr>
          <w:rFonts w:hint="eastAsia"/>
        </w:rPr>
        <w:t>72971</w:t>
      </w:r>
      <w:r w:rsidRPr="00590996">
        <w:rPr>
          <w:rFonts w:cs="Times New Roman" w:hint="eastAsia"/>
        </w:rPr>
        <w:t>)</w:t>
      </w:r>
      <w:r w:rsidRPr="00590996">
        <w:rPr>
          <w:rFonts w:cs="Times New Roman"/>
        </w:rPr>
        <w:t>, TBK1</w:t>
      </w:r>
      <w:r w:rsidRPr="00590996">
        <w:rPr>
          <w:rFonts w:cs="Times New Roman" w:hint="eastAsia"/>
        </w:rPr>
        <w:t xml:space="preserve"> (CST, 3504; </w:t>
      </w:r>
      <w:r w:rsidRPr="00590996">
        <w:rPr>
          <w:rFonts w:cs="Times New Roman"/>
        </w:rPr>
        <w:t>CST 5483</w:t>
      </w:r>
      <w:r w:rsidRPr="00590996">
        <w:rPr>
          <w:rFonts w:cs="Times New Roman" w:hint="eastAsia"/>
        </w:rPr>
        <w:t>)</w:t>
      </w:r>
      <w:r w:rsidRPr="00590996">
        <w:rPr>
          <w:rFonts w:cs="Times New Roman"/>
        </w:rPr>
        <w:t>, and IRF3</w:t>
      </w:r>
      <w:r w:rsidRPr="00590996">
        <w:rPr>
          <w:rFonts w:cs="Times New Roman" w:hint="eastAsia"/>
        </w:rPr>
        <w:t xml:space="preserve"> (CST, </w:t>
      </w:r>
      <w:r w:rsidR="00EE1E62" w:rsidRPr="00590996">
        <w:rPr>
          <w:rFonts w:cs="Times New Roman" w:hint="eastAsia"/>
        </w:rPr>
        <w:t>4302</w:t>
      </w:r>
      <w:r w:rsidRPr="00590996">
        <w:rPr>
          <w:rFonts w:cs="Times New Roman" w:hint="eastAsia"/>
        </w:rPr>
        <w:t xml:space="preserve">; </w:t>
      </w:r>
      <w:r w:rsidRPr="00590996">
        <w:rPr>
          <w:rFonts w:cs="Times New Roman"/>
        </w:rPr>
        <w:t>CST 4947</w:t>
      </w:r>
      <w:r w:rsidRPr="00590996">
        <w:rPr>
          <w:rFonts w:cs="Times New Roman" w:hint="eastAsia"/>
        </w:rPr>
        <w:t>)</w:t>
      </w:r>
      <w:r w:rsidRPr="00590996">
        <w:rPr>
          <w:rFonts w:cs="Times New Roman"/>
        </w:rPr>
        <w:t>.</w:t>
      </w:r>
    </w:p>
    <w:p w14:paraId="64364B8E" w14:textId="79BFDBE5" w:rsidR="00312334" w:rsidRPr="00590996" w:rsidRDefault="00312334" w:rsidP="003748BF">
      <w:pPr>
        <w:spacing w:before="120" w:after="120" w:line="240" w:lineRule="auto"/>
        <w:ind w:firstLine="480"/>
        <w:jc w:val="both"/>
        <w:rPr>
          <w:rFonts w:cs="Times New Roman"/>
          <w:i/>
          <w:iCs/>
        </w:rPr>
      </w:pPr>
      <w:r w:rsidRPr="00590996">
        <w:rPr>
          <w:rFonts w:cs="Times New Roman"/>
          <w:i/>
          <w:iCs/>
        </w:rPr>
        <w:t>Analysis of PD-L1 expression induced by IFN-γ</w:t>
      </w:r>
      <w:r w:rsidRPr="00590996">
        <w:rPr>
          <w:rFonts w:cs="Times New Roman" w:hint="eastAsia"/>
          <w:i/>
          <w:iCs/>
        </w:rPr>
        <w:t xml:space="preserve">: </w:t>
      </w:r>
      <w:r w:rsidRPr="00590996">
        <w:rPr>
          <w:rFonts w:cs="Times New Roman"/>
        </w:rPr>
        <w:t>Hepa1-6 cells were seeded at a density of 3 × 10</w:t>
      </w:r>
      <w:r w:rsidRPr="00590996">
        <w:rPr>
          <w:rFonts w:cs="Times New Roman" w:hint="eastAsia"/>
          <w:vertAlign w:val="superscript"/>
        </w:rPr>
        <w:t>5</w:t>
      </w:r>
      <w:r w:rsidRPr="00590996">
        <w:rPr>
          <w:rFonts w:cs="Times New Roman"/>
        </w:rPr>
        <w:t xml:space="preserve"> cells per well in 6-well plates (for flow cytometry) or glass-bottom culture dishes (for immunofluorescence imaging). After 24 h, cells were treated with recombinant mouse IFN-γ at final concentrations of 0, 10, or 20 ng·mL</w:t>
      </w:r>
      <w:r w:rsidRPr="00590996">
        <w:rPr>
          <w:rFonts w:cs="Times New Roman" w:hint="eastAsia"/>
          <w:vertAlign w:val="superscript"/>
        </w:rPr>
        <w:t>-1</w:t>
      </w:r>
      <w:r w:rsidRPr="00590996">
        <w:rPr>
          <w:rFonts w:cs="Times New Roman"/>
        </w:rPr>
        <w:t xml:space="preserve"> for 48 h.</w:t>
      </w:r>
      <w:r w:rsidRPr="00590996">
        <w:rPr>
          <w:rFonts w:cs="Times New Roman" w:hint="eastAsia"/>
          <w:i/>
          <w:iCs/>
        </w:rPr>
        <w:t xml:space="preserve"> </w:t>
      </w:r>
      <w:r w:rsidRPr="00590996">
        <w:rPr>
          <w:rFonts w:cs="Times New Roman"/>
        </w:rPr>
        <w:t>For flow cytometric analysis, cells were harvested, blocked with 5% BSA, and incubated with anti-mouse PD-L1-Alexa Fluor 488 antibody (ab252436, Abcam) for 60 min at room temperature in the dark. After washing and resuspension, PD-L1 expression was analyzed by flow cytometry.</w:t>
      </w:r>
      <w:r w:rsidRPr="00590996">
        <w:rPr>
          <w:rFonts w:cs="Times New Roman" w:hint="eastAsia"/>
          <w:i/>
          <w:iCs/>
        </w:rPr>
        <w:t xml:space="preserve"> </w:t>
      </w:r>
      <w:r w:rsidRPr="00590996">
        <w:rPr>
          <w:rFonts w:cs="Times New Roman"/>
        </w:rPr>
        <w:t>For immunofluorescence analysis, cells cultured in glass-bottom dishes were fixed with 4% paraformaldehyde, blocked with 5% BSA, and incubated with anti-mouse PD-L1-Alexa Fluor 488 antibody for 2 h at room temperature. Nuclei were counterstained with DAPI, and fluorescence images were acquired using a confocal laser scanning microscope.</w:t>
      </w:r>
    </w:p>
    <w:p w14:paraId="3AC9ABEE" w14:textId="094ACAF8" w:rsidR="00266A32" w:rsidRPr="00590996" w:rsidRDefault="006E25F8" w:rsidP="003748BF">
      <w:pPr>
        <w:spacing w:before="120" w:after="120" w:line="240" w:lineRule="auto"/>
        <w:jc w:val="both"/>
        <w:rPr>
          <w:rFonts w:cs="Times New Roman"/>
          <w:b/>
          <w:bCs/>
        </w:rPr>
      </w:pPr>
      <w:r w:rsidRPr="00590996">
        <w:rPr>
          <w:rFonts w:cs="Times New Roman"/>
          <w:b/>
          <w:bCs/>
          <w:i/>
          <w:iCs/>
        </w:rPr>
        <w:t xml:space="preserve">S1.3 </w:t>
      </w:r>
      <w:r w:rsidR="00266A32" w:rsidRPr="00590996">
        <w:rPr>
          <w:rFonts w:cs="Times New Roman"/>
          <w:b/>
          <w:bCs/>
          <w:i/>
          <w:iCs/>
        </w:rPr>
        <w:t xml:space="preserve">In </w:t>
      </w:r>
      <w:r w:rsidR="006927D7" w:rsidRPr="00590996">
        <w:rPr>
          <w:rFonts w:cs="Times New Roman" w:hint="eastAsia"/>
          <w:b/>
          <w:bCs/>
          <w:i/>
          <w:iCs/>
        </w:rPr>
        <w:t>v</w:t>
      </w:r>
      <w:r w:rsidR="00266A32" w:rsidRPr="00590996">
        <w:rPr>
          <w:rFonts w:cs="Times New Roman"/>
          <w:b/>
          <w:bCs/>
          <w:i/>
          <w:iCs/>
        </w:rPr>
        <w:t>ivo</w:t>
      </w:r>
      <w:r w:rsidR="00266A32" w:rsidRPr="00590996">
        <w:rPr>
          <w:rFonts w:cs="Times New Roman"/>
          <w:b/>
          <w:bCs/>
        </w:rPr>
        <w:t xml:space="preserve"> </w:t>
      </w:r>
      <w:r w:rsidR="006927D7" w:rsidRPr="00590996">
        <w:rPr>
          <w:rFonts w:cs="Times New Roman" w:hint="eastAsia"/>
          <w:b/>
          <w:bCs/>
        </w:rPr>
        <w:t>s</w:t>
      </w:r>
      <w:r w:rsidR="00266A32" w:rsidRPr="00590996">
        <w:rPr>
          <w:rFonts w:cs="Times New Roman"/>
          <w:b/>
          <w:bCs/>
        </w:rPr>
        <w:t>tudies</w:t>
      </w:r>
    </w:p>
    <w:p w14:paraId="50B2A976" w14:textId="2403B550" w:rsidR="00266A32" w:rsidRPr="00590996" w:rsidRDefault="00266A32" w:rsidP="003748BF">
      <w:pPr>
        <w:spacing w:before="120" w:after="120" w:line="240" w:lineRule="auto"/>
        <w:ind w:firstLineChars="200" w:firstLine="480"/>
        <w:jc w:val="both"/>
        <w:rPr>
          <w:rFonts w:cs="Times New Roman"/>
        </w:rPr>
      </w:pPr>
      <w:r w:rsidRPr="00590996">
        <w:rPr>
          <w:rFonts w:cs="Times New Roman"/>
          <w:i/>
          <w:iCs/>
        </w:rPr>
        <w:t>Animal models</w:t>
      </w:r>
      <w:r w:rsidRPr="00590996">
        <w:rPr>
          <w:rFonts w:cs="Times New Roman" w:hint="eastAsia"/>
        </w:rPr>
        <w:t xml:space="preserve">: </w:t>
      </w:r>
      <w:r w:rsidRPr="00590996">
        <w:rPr>
          <w:rFonts w:cs="Times New Roman"/>
        </w:rPr>
        <w:t>Male C57BL/6 mice (6</w:t>
      </w:r>
      <w:r w:rsidRPr="00590996">
        <w:rPr>
          <w:rFonts w:cs="Times New Roman" w:hint="eastAsia"/>
        </w:rPr>
        <w:t>-</w:t>
      </w:r>
      <w:r w:rsidRPr="00590996">
        <w:rPr>
          <w:rFonts w:cs="Times New Roman"/>
        </w:rPr>
        <w:t>8 weeks old) were purchased from Beijing Vital River Laboratory Animal Technology Co., Ltd. STING-</w:t>
      </w:r>
      <w:r w:rsidRPr="00590996">
        <w:rPr>
          <w:rFonts w:cs="Times New Roman" w:hint="eastAsia"/>
        </w:rPr>
        <w:t>knockout</w:t>
      </w:r>
      <w:r w:rsidRPr="00590996">
        <w:rPr>
          <w:rFonts w:cs="Times New Roman"/>
        </w:rPr>
        <w:t xml:space="preserve"> (</w:t>
      </w:r>
      <w:r w:rsidRPr="00590996">
        <w:rPr>
          <w:rFonts w:cs="Times New Roman" w:hint="eastAsia"/>
        </w:rPr>
        <w:t>STING-KO)</w:t>
      </w:r>
      <w:r w:rsidRPr="00590996">
        <w:rPr>
          <w:rFonts w:cs="Times New Roman"/>
        </w:rPr>
        <w:t xml:space="preserve"> C57BL/6 mice were obtained from Cyagen Biosciences (Guangzhou, China). Subcutaneous tumor models were established by</w:t>
      </w:r>
      <w:r w:rsidR="004A7784" w:rsidRPr="00590996">
        <w:rPr>
          <w:rFonts w:cs="Times New Roman" w:hint="eastAsia"/>
        </w:rPr>
        <w:t xml:space="preserve"> s</w:t>
      </w:r>
      <w:r w:rsidR="004A7784" w:rsidRPr="00590996">
        <w:rPr>
          <w:rFonts w:cs="Times New Roman"/>
        </w:rPr>
        <w:t>ubcutaneous</w:t>
      </w:r>
      <w:r w:rsidRPr="00590996">
        <w:rPr>
          <w:rFonts w:cs="Times New Roman"/>
        </w:rPr>
        <w:t xml:space="preserve"> injecti</w:t>
      </w:r>
      <w:r w:rsidR="00AA3154" w:rsidRPr="00590996">
        <w:rPr>
          <w:rFonts w:cs="Times New Roman" w:hint="eastAsia"/>
        </w:rPr>
        <w:t>on</w:t>
      </w:r>
      <w:r w:rsidR="004A7784" w:rsidRPr="00590996">
        <w:rPr>
          <w:rFonts w:cs="Times New Roman" w:hint="eastAsia"/>
        </w:rPr>
        <w:t xml:space="preserve"> of </w:t>
      </w:r>
      <w:r w:rsidR="004A7784" w:rsidRPr="00590996">
        <w:rPr>
          <w:rFonts w:cs="Times New Roman"/>
        </w:rPr>
        <w:t>3 × 10</w:t>
      </w:r>
      <w:r w:rsidR="004A7784" w:rsidRPr="00590996">
        <w:rPr>
          <w:rFonts w:cs="Times New Roman" w:hint="eastAsia"/>
          <w:vertAlign w:val="superscript"/>
        </w:rPr>
        <w:t>6</w:t>
      </w:r>
      <w:r w:rsidRPr="00590996">
        <w:rPr>
          <w:rFonts w:cs="Times New Roman"/>
        </w:rPr>
        <w:t xml:space="preserve"> Hepa1-6 cells</w:t>
      </w:r>
      <w:r w:rsidRPr="00590996">
        <w:rPr>
          <w:rFonts w:cs="Times New Roman" w:hint="eastAsia"/>
        </w:rPr>
        <w:t xml:space="preserve"> </w:t>
      </w:r>
      <w:r w:rsidRPr="00590996">
        <w:rPr>
          <w:rFonts w:cs="Times New Roman"/>
        </w:rPr>
        <w:t>suspended in 50% Matrigel</w:t>
      </w:r>
      <w:r w:rsidRPr="00590996">
        <w:rPr>
          <w:rFonts w:cs="Times New Roman" w:hint="eastAsia"/>
        </w:rPr>
        <w:t xml:space="preserve"> (Corning, 356234) </w:t>
      </w:r>
      <w:r w:rsidRPr="00590996">
        <w:rPr>
          <w:rFonts w:cs="Times New Roman"/>
        </w:rPr>
        <w:t xml:space="preserve">/PBS </w:t>
      </w:r>
      <w:r w:rsidR="004A7784" w:rsidRPr="00590996">
        <w:rPr>
          <w:rFonts w:cs="Times New Roman" w:hint="eastAsia"/>
        </w:rPr>
        <w:t>(1</w:t>
      </w:r>
      <w:r w:rsidRPr="00590996">
        <w:rPr>
          <w:rFonts w:cs="Times New Roman"/>
        </w:rPr>
        <w:t>00 μL</w:t>
      </w:r>
      <w:r w:rsidR="004A7784" w:rsidRPr="00590996">
        <w:rPr>
          <w:rFonts w:cs="Times New Roman" w:hint="eastAsia"/>
        </w:rPr>
        <w:t xml:space="preserve"> per mouse</w:t>
      </w:r>
      <w:r w:rsidRPr="00590996">
        <w:rPr>
          <w:rFonts w:cs="Times New Roman"/>
        </w:rPr>
        <w:t xml:space="preserve">) into the </w:t>
      </w:r>
      <w:r w:rsidRPr="00590996">
        <w:rPr>
          <w:rFonts w:cs="Times New Roman" w:hint="eastAsia"/>
        </w:rPr>
        <w:t>right</w:t>
      </w:r>
      <w:r w:rsidRPr="00590996">
        <w:rPr>
          <w:rFonts w:cs="Times New Roman"/>
        </w:rPr>
        <w:t xml:space="preserve"> flank of</w:t>
      </w:r>
      <w:r w:rsidR="004A7784" w:rsidRPr="00590996">
        <w:rPr>
          <w:rFonts w:cs="Times New Roman" w:hint="eastAsia"/>
        </w:rPr>
        <w:t xml:space="preserve"> </w:t>
      </w:r>
      <w:r w:rsidR="004A7784" w:rsidRPr="00590996">
        <w:rPr>
          <w:rFonts w:cs="Times New Roman"/>
        </w:rPr>
        <w:t>C57BL/6</w:t>
      </w:r>
      <w:r w:rsidRPr="00590996">
        <w:rPr>
          <w:rFonts w:cs="Times New Roman"/>
        </w:rPr>
        <w:t xml:space="preserve"> mice.</w:t>
      </w:r>
      <w:r w:rsidR="004A7784" w:rsidRPr="00590996">
        <w:rPr>
          <w:rFonts w:cs="Times New Roman" w:hint="eastAsia"/>
        </w:rPr>
        <w:t xml:space="preserve"> </w:t>
      </w:r>
      <w:r w:rsidR="004A7784" w:rsidRPr="00590996">
        <w:rPr>
          <w:rFonts w:cs="Times New Roman"/>
        </w:rPr>
        <w:t>Bilateral Hepa1-6 tumor models were established by inoculating Hepa1-6 cells into both flanks of C57BL/6 mice</w:t>
      </w:r>
      <w:r w:rsidR="008323DC" w:rsidRPr="00590996">
        <w:rPr>
          <w:rFonts w:cs="Times New Roman" w:hint="eastAsia"/>
        </w:rPr>
        <w:t xml:space="preserve"> </w:t>
      </w:r>
      <w:r w:rsidR="008323DC" w:rsidRPr="00590996">
        <w:rPr>
          <w:rFonts w:cs="Times New Roman"/>
        </w:rPr>
        <w:t>(right flank: 1 × 10</w:t>
      </w:r>
      <w:r w:rsidR="008323DC" w:rsidRPr="00590996">
        <w:rPr>
          <w:rFonts w:cs="Times New Roman" w:hint="eastAsia"/>
          <w:vertAlign w:val="superscript"/>
        </w:rPr>
        <w:t>6</w:t>
      </w:r>
      <w:r w:rsidR="008323DC" w:rsidRPr="00590996">
        <w:rPr>
          <w:rFonts w:cs="Times New Roman"/>
        </w:rPr>
        <w:t xml:space="preserve"> cells; left flank: 5 × 10</w:t>
      </w:r>
      <w:r w:rsidR="008323DC" w:rsidRPr="00590996">
        <w:rPr>
          <w:rFonts w:cs="Times New Roman" w:hint="eastAsia"/>
          <w:vertAlign w:val="superscript"/>
        </w:rPr>
        <w:t>5</w:t>
      </w:r>
      <w:r w:rsidR="008323DC" w:rsidRPr="00590996">
        <w:rPr>
          <w:rFonts w:cs="Times New Roman"/>
        </w:rPr>
        <w:t xml:space="preserve"> cells)</w:t>
      </w:r>
      <w:r w:rsidR="004A7784" w:rsidRPr="00590996">
        <w:rPr>
          <w:rFonts w:cs="Times New Roman"/>
        </w:rPr>
        <w:t xml:space="preserve">. When primary tumors reached approximately </w:t>
      </w:r>
      <w:r w:rsidR="008323DC" w:rsidRPr="00590996">
        <w:rPr>
          <w:rFonts w:cs="Times New Roman" w:hint="eastAsia"/>
        </w:rPr>
        <w:t>100</w:t>
      </w:r>
      <w:r w:rsidR="004A7784" w:rsidRPr="00590996">
        <w:rPr>
          <w:rFonts w:cs="Times New Roman"/>
        </w:rPr>
        <w:t xml:space="preserve"> mm</w:t>
      </w:r>
      <w:r w:rsidR="00A368F1" w:rsidRPr="00590996">
        <w:rPr>
          <w:rFonts w:cs="Times New Roman" w:hint="eastAsia"/>
          <w:vertAlign w:val="superscript"/>
        </w:rPr>
        <w:t>3</w:t>
      </w:r>
      <w:r w:rsidR="004A7784" w:rsidRPr="00590996">
        <w:rPr>
          <w:rFonts w:cs="Times New Roman"/>
        </w:rPr>
        <w:t>, mice received intravenous administration of MCI-NP@mPD-1 followed by laser irradiation applied only to the primary tumor 24 h later. Tumor growth at both primary and contralateral sites was monitored throughout the study.</w:t>
      </w:r>
      <w:r w:rsidRPr="00590996">
        <w:rPr>
          <w:rFonts w:cs="Times New Roman"/>
        </w:rPr>
        <w:t xml:space="preserve"> Tumor volume was monitored using digital calipers and calculated as V = L × W</w:t>
      </w:r>
      <w:r w:rsidRPr="00590996">
        <w:rPr>
          <w:rFonts w:cs="Times New Roman" w:hint="eastAsia"/>
          <w:vertAlign w:val="superscript"/>
        </w:rPr>
        <w:t>2</w:t>
      </w:r>
      <w:r w:rsidRPr="00590996">
        <w:rPr>
          <w:rFonts w:cs="Times New Roman"/>
        </w:rPr>
        <w:t xml:space="preserve"> × 0.5. Treatments were initiated when tumor volumes reached approximately 100 ± 10 mm</w:t>
      </w:r>
      <w:r w:rsidRPr="00590996">
        <w:rPr>
          <w:rFonts w:cs="Times New Roman" w:hint="eastAsia"/>
          <w:vertAlign w:val="superscript"/>
        </w:rPr>
        <w:t>3</w:t>
      </w:r>
      <w:r w:rsidRPr="00590996">
        <w:rPr>
          <w:rFonts w:cs="Times New Roman"/>
        </w:rPr>
        <w:t>.</w:t>
      </w:r>
      <w:r w:rsidR="00FD37D1" w:rsidRPr="00590996">
        <w:rPr>
          <w:rFonts w:cs="Times New Roman" w:hint="eastAsia"/>
        </w:rPr>
        <w:t xml:space="preserve"> </w:t>
      </w:r>
      <w:r w:rsidR="00FD37D1" w:rsidRPr="00590996">
        <w:rPr>
          <w:rFonts w:cs="Times New Roman"/>
        </w:rPr>
        <w:t>Animals exhibiting persistent hunching posture, markedly reduced activity, severe weight loss, or other predefined humane endpoint criteria were euthanized according to institutional animal care guidelines.</w:t>
      </w:r>
    </w:p>
    <w:p w14:paraId="711BFB91" w14:textId="77777777" w:rsidR="00266A32" w:rsidRPr="00590996" w:rsidRDefault="00266A32" w:rsidP="003748BF">
      <w:pPr>
        <w:spacing w:before="120" w:after="120" w:line="240" w:lineRule="auto"/>
        <w:ind w:firstLineChars="200" w:firstLine="480"/>
        <w:jc w:val="both"/>
        <w:rPr>
          <w:rFonts w:cs="Times New Roman"/>
        </w:rPr>
      </w:pPr>
      <w:r w:rsidRPr="00590996">
        <w:rPr>
          <w:rFonts w:cs="Times New Roman"/>
          <w:i/>
          <w:iCs/>
        </w:rPr>
        <w:t>In vivo biodistribution</w:t>
      </w:r>
      <w:r w:rsidRPr="00590996">
        <w:rPr>
          <w:rFonts w:cs="Times New Roman" w:hint="eastAsia"/>
        </w:rPr>
        <w:t xml:space="preserve">: For intratumoral diffusion assays, MCI-NP (50 </w:t>
      </w:r>
      <w:r w:rsidRPr="00590996">
        <w:rPr>
          <w:rFonts w:cs="Times New Roman"/>
        </w:rPr>
        <w:t>μ</w:t>
      </w:r>
      <w:r w:rsidRPr="00590996">
        <w:rPr>
          <w:rFonts w:cs="Times New Roman" w:hint="eastAsia"/>
        </w:rPr>
        <w:t xml:space="preserve">L, equivalent to 20 </w:t>
      </w:r>
      <w:r w:rsidRPr="00590996">
        <w:rPr>
          <w:rFonts w:cs="Times New Roman"/>
        </w:rPr>
        <w:t>μ</w:t>
      </w:r>
      <w:r w:rsidRPr="00590996">
        <w:rPr>
          <w:rFonts w:cs="Times New Roman" w:hint="eastAsia"/>
        </w:rPr>
        <w:t>g MSA-2) was locally injected into established Hepa1-6 tumors (~150 mm</w:t>
      </w:r>
      <w:r w:rsidRPr="00590996">
        <w:rPr>
          <w:rFonts w:cs="Times New Roman" w:hint="eastAsia"/>
          <w:vertAlign w:val="superscript"/>
        </w:rPr>
        <w:t>3</w:t>
      </w:r>
      <w:r w:rsidRPr="00590996">
        <w:rPr>
          <w:rFonts w:cs="Times New Roman" w:hint="eastAsia"/>
        </w:rPr>
        <w:t>). Near-infrared fluorescence imaging was performed at 0.5, 1, 2, 4, 8, 12, 24, and 36 h post-injection using an NI</w:t>
      </w:r>
      <w:r w:rsidRPr="00590996">
        <w:rPr>
          <w:rFonts w:cs="Times New Roman"/>
        </w:rPr>
        <w:t>R imaging system</w:t>
      </w:r>
      <w:r w:rsidRPr="00590996">
        <w:rPr>
          <w:rFonts w:cs="Times New Roman" w:hint="eastAsia"/>
        </w:rPr>
        <w:t xml:space="preserve"> (UNITED WELL NW-1000)</w:t>
      </w:r>
      <w:r w:rsidRPr="00590996">
        <w:rPr>
          <w:rFonts w:cs="Times New Roman"/>
        </w:rPr>
        <w:t>.</w:t>
      </w:r>
      <w:r w:rsidRPr="00590996">
        <w:rPr>
          <w:rFonts w:cs="Times New Roman" w:hint="eastAsia"/>
        </w:rPr>
        <w:t xml:space="preserve"> </w:t>
      </w:r>
      <w:r w:rsidRPr="00590996">
        <w:rPr>
          <w:rFonts w:cs="Times New Roman"/>
        </w:rPr>
        <w:t>For systemic biodistribution, tumor-bearing mice received intravenous injection of MCI-NP@mPD-1 (5 mg·kg</w:t>
      </w:r>
      <w:r w:rsidRPr="00590996">
        <w:rPr>
          <w:rFonts w:cs="Times New Roman" w:hint="eastAsia"/>
          <w:vertAlign w:val="superscript"/>
        </w:rPr>
        <w:t>-1</w:t>
      </w:r>
      <w:r w:rsidRPr="00590996">
        <w:rPr>
          <w:rFonts w:cs="Times New Roman"/>
        </w:rPr>
        <w:t>, 100 μL). Whole-body NIR-II fluorescence imaging was conducted at predetermined time points (0.5</w:t>
      </w:r>
      <w:r w:rsidRPr="00590996">
        <w:rPr>
          <w:rFonts w:cs="Times New Roman" w:hint="eastAsia"/>
        </w:rPr>
        <w:t>-</w:t>
      </w:r>
      <w:r w:rsidRPr="00590996">
        <w:rPr>
          <w:rFonts w:cs="Times New Roman"/>
        </w:rPr>
        <w:t>36 h). Major organs and tumors were harvested after the final imaging for ex vivo fluorescence analysis.</w:t>
      </w:r>
    </w:p>
    <w:p w14:paraId="72E0CBCD" w14:textId="3496B687" w:rsidR="00AD7E69" w:rsidRPr="00590996" w:rsidRDefault="00AD7E69" w:rsidP="003748BF">
      <w:pPr>
        <w:spacing w:before="120" w:after="120" w:line="240" w:lineRule="auto"/>
        <w:ind w:firstLineChars="200" w:firstLine="480"/>
        <w:jc w:val="both"/>
        <w:rPr>
          <w:rFonts w:cs="Times New Roman"/>
        </w:rPr>
      </w:pPr>
      <w:r w:rsidRPr="00590996">
        <w:rPr>
          <w:rFonts w:cs="Times New Roman"/>
          <w:i/>
          <w:iCs/>
        </w:rPr>
        <w:t>In vivo pharmacokinetic study</w:t>
      </w:r>
      <w:r w:rsidRPr="00590996">
        <w:rPr>
          <w:rFonts w:cs="Times New Roman" w:hint="eastAsia"/>
        </w:rPr>
        <w:t xml:space="preserve">: </w:t>
      </w:r>
      <w:r w:rsidRPr="00590996">
        <w:rPr>
          <w:rFonts w:cs="Times New Roman"/>
        </w:rPr>
        <w:t>C57BL/6 mice received a single intravenous injection of MCI-NP@mPD-1 at a dose of 5 mg·kg</w:t>
      </w:r>
      <w:r w:rsidRPr="00590996">
        <w:rPr>
          <w:rFonts w:cs="Times New Roman" w:hint="eastAsia"/>
          <w:vertAlign w:val="superscript"/>
        </w:rPr>
        <w:t>-1</w:t>
      </w:r>
      <w:r w:rsidRPr="00590996">
        <w:rPr>
          <w:rFonts w:cs="Times New Roman"/>
        </w:rPr>
        <w:t xml:space="preserve"> in a volume of 100 μL. Blood samples were collected from the retro-orbital venous plexus into EDTA-anticoagulated tubes at 5, 15, and 30 min and at 1, 2, 4, 6, 12, and 24 h after administration. Samples were centrifuged at 1,500 × g for 5 min at room temperature to obtain plasma, which was stored at </w:t>
      </w:r>
      <w:r w:rsidRPr="00590996">
        <w:rPr>
          <w:rFonts w:cs="Times New Roman" w:hint="eastAsia"/>
        </w:rPr>
        <w:t>-</w:t>
      </w:r>
      <w:r w:rsidRPr="00590996">
        <w:rPr>
          <w:rFonts w:cs="Times New Roman"/>
        </w:rPr>
        <w:t>20 °C until analysis.</w:t>
      </w:r>
      <w:r w:rsidRPr="00590996">
        <w:rPr>
          <w:rFonts w:cs="Times New Roman" w:hint="eastAsia"/>
        </w:rPr>
        <w:t xml:space="preserve"> </w:t>
      </w:r>
      <w:r w:rsidRPr="00590996">
        <w:rPr>
          <w:rFonts w:cs="Times New Roman"/>
        </w:rPr>
        <w:t>MSA-2 was selected as the representative analyte for pharmacokinetic evaluation. Plasma concentrations of MSA-2 were quantified using a UPLC-MS/MS system consisting of a Shimadzu UPLC 30AD liquid chromatography system (Tokyo, Japan) coupled to an AB Sciex API 5500 triple quadrupole mass spectrometer equipped with an electrospray ionization (ESI) source (Los Angeles, CA, USA). Chromatographic separation was performed on a Shim-pack XR-ODS III C18 column (2.0 × 50 mm, 1.6 μm) equipped with a Shim-pack GIST-HP (G) guard column (2.1 × 10 mm, 1.6 μm; Tokyo, Japan). The flow rate was maintained at 0.3 mL·min</w:t>
      </w:r>
      <w:r w:rsidRPr="00590996">
        <w:rPr>
          <w:rFonts w:cs="Times New Roman" w:hint="eastAsia"/>
          <w:vertAlign w:val="superscript"/>
        </w:rPr>
        <w:t>-1</w:t>
      </w:r>
      <w:r w:rsidRPr="00590996">
        <w:rPr>
          <w:rFonts w:cs="Times New Roman"/>
        </w:rPr>
        <w:t>. The mobile phase consisted of solvent A (water containing 2 mM ammonium acetate and 0.1% formic acid) and solvent B (acetonitrile containing 0.1% formic acid). The gradient elution program was as follows: 30% B from 0 to 0.1 min, 30</w:t>
      </w:r>
      <w:r w:rsidRPr="00590996">
        <w:rPr>
          <w:rFonts w:cs="Times New Roman" w:hint="eastAsia"/>
        </w:rPr>
        <w:t>-</w:t>
      </w:r>
      <w:r w:rsidRPr="00590996">
        <w:rPr>
          <w:rFonts w:cs="Times New Roman"/>
        </w:rPr>
        <w:t>90% B from 0.1 to 1.5 min, 90% B from 1.5 to 2.5 min, 90</w:t>
      </w:r>
      <w:r w:rsidRPr="00590996">
        <w:rPr>
          <w:rFonts w:cs="Times New Roman" w:hint="eastAsia"/>
        </w:rPr>
        <w:t>-</w:t>
      </w:r>
      <w:r w:rsidRPr="00590996">
        <w:rPr>
          <w:rFonts w:cs="Times New Roman"/>
        </w:rPr>
        <w:t>30% B from 2.5 to 3.0 min, and 30% B from 3.0 to 3.5 min.</w:t>
      </w:r>
      <w:r w:rsidRPr="00590996">
        <w:rPr>
          <w:rFonts w:cs="Times New Roman" w:hint="eastAsia"/>
        </w:rPr>
        <w:t xml:space="preserve"> </w:t>
      </w:r>
      <w:r w:rsidRPr="00590996">
        <w:rPr>
          <w:rFonts w:cs="Times New Roman"/>
        </w:rPr>
        <w:t xml:space="preserve">MSA-2 was detected in negative electrospray ionization mode by monitoring the deprotonated molecular ion. The mass spectrometric parameters were set as follows: curtain gas, 30 psi; collision gas, 9 psi; ion source gas 1, 55 psi; ion source gas 2, 50 psi; ion spray voltage, </w:t>
      </w:r>
      <w:r w:rsidRPr="00590996">
        <w:rPr>
          <w:rFonts w:cs="Times New Roman" w:hint="eastAsia"/>
        </w:rPr>
        <w:t>-</w:t>
      </w:r>
      <w:r w:rsidRPr="00590996">
        <w:rPr>
          <w:rFonts w:cs="Times New Roman"/>
        </w:rPr>
        <w:t>4500 V; and source temperature, 400 °C.</w:t>
      </w:r>
      <w:r w:rsidRPr="00590996">
        <w:rPr>
          <w:rFonts w:cs="Times New Roman" w:hint="eastAsia"/>
        </w:rPr>
        <w:t xml:space="preserve"> </w:t>
      </w:r>
      <w:r w:rsidRPr="00590996">
        <w:rPr>
          <w:rFonts w:cs="Times New Roman"/>
        </w:rPr>
        <w:t>Pharmacokinetic parameters were calculated by non-compartmental analysis using Phoenix WinNonlin 8.2 software (Pharsight Corporation, Mountain View, CA, USA). The area under the plasma concentration–time curve from 0 to 6 h (AUC</w:t>
      </w:r>
      <w:r w:rsidRPr="00590996">
        <w:rPr>
          <w:rFonts w:cs="Times New Roman" w:hint="eastAsia"/>
          <w:vertAlign w:val="subscript"/>
        </w:rPr>
        <w:t>0-6</w:t>
      </w:r>
      <w:r w:rsidRPr="00590996">
        <w:rPr>
          <w:rFonts w:cs="Times New Roman"/>
        </w:rPr>
        <w:t>) was calculated using the linear trapezoidal method. The terminal elimination half-life (t</w:t>
      </w:r>
      <w:r w:rsidRPr="00590996">
        <w:rPr>
          <w:rFonts w:cs="Times New Roman" w:hint="eastAsia"/>
          <w:vertAlign w:val="subscript"/>
        </w:rPr>
        <w:t>1/2</w:t>
      </w:r>
      <w:r w:rsidRPr="00590996">
        <w:rPr>
          <w:rFonts w:cs="Times New Roman"/>
        </w:rPr>
        <w:t>) was calculated as 0.693/k, where k represents the first-order elimination rate constant.</w:t>
      </w:r>
    </w:p>
    <w:p w14:paraId="598ED280" w14:textId="77777777" w:rsidR="00266A32" w:rsidRPr="00590996" w:rsidRDefault="00266A32" w:rsidP="003748BF">
      <w:pPr>
        <w:spacing w:before="120" w:after="120" w:line="240" w:lineRule="auto"/>
        <w:ind w:firstLineChars="200" w:firstLine="480"/>
        <w:jc w:val="both"/>
        <w:rPr>
          <w:rFonts w:cs="Times New Roman"/>
        </w:rPr>
      </w:pPr>
      <w:r w:rsidRPr="00590996">
        <w:rPr>
          <w:rFonts w:cs="Times New Roman"/>
          <w:i/>
          <w:iCs/>
        </w:rPr>
        <w:t>In vivo photothermal therapy</w:t>
      </w:r>
      <w:r w:rsidRPr="00590996">
        <w:rPr>
          <w:rFonts w:cs="Times New Roman" w:hint="eastAsia"/>
        </w:rPr>
        <w:t xml:space="preserve">: </w:t>
      </w:r>
      <w:r w:rsidRPr="00590996">
        <w:rPr>
          <w:rFonts w:cs="Times New Roman"/>
        </w:rPr>
        <w:t>Photothermal treatment was performed using an 808 nm near-infrared laser (0.8 W·cm</w:t>
      </w:r>
      <w:r w:rsidRPr="00590996">
        <w:rPr>
          <w:rFonts w:cs="Times New Roman" w:hint="eastAsia"/>
          <w:vertAlign w:val="superscript"/>
        </w:rPr>
        <w:t>-2</w:t>
      </w:r>
      <w:r w:rsidRPr="00590996">
        <w:rPr>
          <w:rFonts w:cs="Times New Roman"/>
        </w:rPr>
        <w:t>, 10 min, spot diameter 1 cm). Laser irradiation</w:t>
      </w:r>
      <w:r w:rsidRPr="00590996">
        <w:rPr>
          <w:rFonts w:cs="Times New Roman" w:hint="eastAsia"/>
        </w:rPr>
        <w:t xml:space="preserve"> (MDL-III-808,</w:t>
      </w:r>
      <w:r w:rsidRPr="00590996">
        <w:t xml:space="preserve"> </w:t>
      </w:r>
      <w:r w:rsidRPr="00590996">
        <w:rPr>
          <w:rFonts w:cs="Times New Roman"/>
        </w:rPr>
        <w:t>Changchun New Industries Optoelectronics Technology Co., Ltd.</w:t>
      </w:r>
      <w:r w:rsidRPr="00590996">
        <w:rPr>
          <w:rFonts w:cs="Times New Roman" w:hint="eastAsia"/>
        </w:rPr>
        <w:t>)</w:t>
      </w:r>
      <w:r w:rsidRPr="00590996">
        <w:rPr>
          <w:rFonts w:cs="Times New Roman"/>
        </w:rPr>
        <w:t xml:space="preserve"> was applied 24 h after nanoparticle administration. Tumor surface temperatures were continuously monitored using an infrare</w:t>
      </w:r>
      <w:r w:rsidRPr="00590996">
        <w:rPr>
          <w:rFonts w:cs="Times New Roman" w:hint="eastAsia"/>
        </w:rPr>
        <w:t>d thermal imaging camera (</w:t>
      </w:r>
      <w:r w:rsidRPr="00590996">
        <w:rPr>
          <w:rFonts w:cs="Times New Roman"/>
        </w:rPr>
        <w:t>Ti25</w:t>
      </w:r>
      <w:r w:rsidRPr="00590996">
        <w:rPr>
          <w:rFonts w:cs="Times New Roman" w:hint="eastAsia"/>
        </w:rPr>
        <w:t>,</w:t>
      </w:r>
      <w:r w:rsidRPr="00590996">
        <w:rPr>
          <w:rFonts w:cs="Times New Roman"/>
        </w:rPr>
        <w:t xml:space="preserve"> Fluke)</w:t>
      </w:r>
      <w:r w:rsidRPr="00590996">
        <w:rPr>
          <w:rFonts w:cs="Times New Roman" w:hint="eastAsia"/>
        </w:rPr>
        <w:t xml:space="preserve"> to ensure effective photothermal heating.</w:t>
      </w:r>
    </w:p>
    <w:p w14:paraId="572E56D5" w14:textId="208DDD1C" w:rsidR="00266A32" w:rsidRPr="00590996" w:rsidRDefault="00266A32" w:rsidP="003748BF">
      <w:pPr>
        <w:spacing w:before="120" w:after="120" w:line="240" w:lineRule="auto"/>
        <w:ind w:firstLineChars="200" w:firstLine="480"/>
        <w:jc w:val="both"/>
        <w:rPr>
          <w:rFonts w:cs="Times New Roman"/>
        </w:rPr>
      </w:pPr>
      <w:r w:rsidRPr="00590996">
        <w:rPr>
          <w:rFonts w:cs="Times New Roman"/>
          <w:i/>
          <w:iCs/>
        </w:rPr>
        <w:t>In vivo antitumor efficacy</w:t>
      </w:r>
      <w:r w:rsidRPr="00590996">
        <w:rPr>
          <w:rFonts w:cs="Times New Roman" w:hint="eastAsia"/>
        </w:rPr>
        <w:t xml:space="preserve">: </w:t>
      </w:r>
      <w:r w:rsidRPr="00590996">
        <w:rPr>
          <w:rFonts w:cs="Times New Roman"/>
        </w:rPr>
        <w:t>Tumor-bearing mice were randomly assigned to different treatment groups (n = 5).</w:t>
      </w:r>
      <w:r w:rsidR="004A7784" w:rsidRPr="00590996">
        <w:rPr>
          <w:rFonts w:cs="Times New Roman" w:hint="eastAsia"/>
        </w:rPr>
        <w:t xml:space="preserve"> </w:t>
      </w:r>
      <w:r w:rsidR="004A7784" w:rsidRPr="00590996">
        <w:rPr>
          <w:rFonts w:cs="Times New Roman"/>
        </w:rPr>
        <w:t>For intratumoral therapy studies, nanoparticles were administered via intratumoral injection</w:t>
      </w:r>
      <w:r w:rsidR="00FD4835" w:rsidRPr="00590996">
        <w:rPr>
          <w:rFonts w:cs="Times New Roman" w:hint="eastAsia"/>
        </w:rPr>
        <w:t xml:space="preserve"> at a dose of 2.</w:t>
      </w:r>
      <w:r w:rsidR="00FD4835" w:rsidRPr="00590996">
        <w:rPr>
          <w:rFonts w:cs="Times New Roman"/>
        </w:rPr>
        <w:t>5 mg·kg</w:t>
      </w:r>
      <w:r w:rsidR="00FD4835" w:rsidRPr="00590996">
        <w:rPr>
          <w:rFonts w:cs="Times New Roman" w:hint="eastAsia"/>
          <w:vertAlign w:val="superscript"/>
        </w:rPr>
        <w:t>-1</w:t>
      </w:r>
      <w:r w:rsidR="00FD4835" w:rsidRPr="00590996">
        <w:rPr>
          <w:rFonts w:cs="Times New Roman"/>
        </w:rPr>
        <w:t xml:space="preserve"> in </w:t>
      </w:r>
      <w:r w:rsidR="00FD4835" w:rsidRPr="00590996">
        <w:rPr>
          <w:rFonts w:cs="Times New Roman" w:hint="eastAsia"/>
        </w:rPr>
        <w:t>5</w:t>
      </w:r>
      <w:r w:rsidR="00FD4835" w:rsidRPr="00590996">
        <w:rPr>
          <w:rFonts w:cs="Times New Roman"/>
        </w:rPr>
        <w:t>0 μL PBS</w:t>
      </w:r>
      <w:r w:rsidR="004A7784" w:rsidRPr="00590996">
        <w:rPr>
          <w:rFonts w:cs="Times New Roman"/>
        </w:rPr>
        <w:t>. For systemic therapy studies, formulations were administered intravenously via the tail vein at a dose of 5 mg·kg</w:t>
      </w:r>
      <w:r w:rsidR="004A7784" w:rsidRPr="00590996">
        <w:rPr>
          <w:rFonts w:cs="Times New Roman" w:hint="eastAsia"/>
          <w:vertAlign w:val="superscript"/>
        </w:rPr>
        <w:t>-1</w:t>
      </w:r>
      <w:r w:rsidR="004A7784" w:rsidRPr="00590996">
        <w:rPr>
          <w:rFonts w:cs="Times New Roman"/>
        </w:rPr>
        <w:t xml:space="preserve"> in 100 μL PBS.</w:t>
      </w:r>
      <w:r w:rsidRPr="00590996">
        <w:rPr>
          <w:rFonts w:cs="Times New Roman"/>
        </w:rPr>
        <w:t xml:space="preserve"> Tumor volumes and body weights were recorded every two days. Mice were euthanized when tumor volume exceeded 1500 mm</w:t>
      </w:r>
      <w:r w:rsidRPr="00590996">
        <w:rPr>
          <w:rFonts w:cs="Times New Roman" w:hint="eastAsia"/>
          <w:vertAlign w:val="superscript"/>
        </w:rPr>
        <w:t>3</w:t>
      </w:r>
      <w:r w:rsidRPr="00590996">
        <w:rPr>
          <w:rFonts w:cs="Times New Roman"/>
        </w:rPr>
        <w:t xml:space="preserve"> or body weight loss exceeded 20%, in accordance with ethical guidelines.</w:t>
      </w:r>
      <w:r w:rsidRPr="00590996">
        <w:rPr>
          <w:rFonts w:cs="Times New Roman" w:hint="eastAsia"/>
        </w:rPr>
        <w:t xml:space="preserve"> </w:t>
      </w:r>
      <w:r w:rsidRPr="00590996">
        <w:rPr>
          <w:rFonts w:cs="Times New Roman"/>
        </w:rPr>
        <w:t>For survival analysis, mice were monitored for up to 60 days post-treatment, and survival curves were analyzed using the Kaplan</w:t>
      </w:r>
      <w:r w:rsidRPr="00590996">
        <w:rPr>
          <w:rFonts w:cs="Times New Roman" w:hint="eastAsia"/>
        </w:rPr>
        <w:t>-</w:t>
      </w:r>
      <w:r w:rsidRPr="00590996">
        <w:rPr>
          <w:rFonts w:cs="Times New Roman"/>
        </w:rPr>
        <w:t>Meier method with log-rank testing.</w:t>
      </w:r>
    </w:p>
    <w:p w14:paraId="27C61D85" w14:textId="264F0F83" w:rsidR="00266A32" w:rsidRPr="00590996" w:rsidRDefault="00266A32" w:rsidP="003748BF">
      <w:pPr>
        <w:spacing w:before="120" w:after="120" w:line="240" w:lineRule="auto"/>
        <w:ind w:firstLineChars="200" w:firstLine="480"/>
        <w:jc w:val="both"/>
        <w:rPr>
          <w:rFonts w:cs="Times New Roman"/>
        </w:rPr>
      </w:pPr>
      <w:r w:rsidRPr="00590996">
        <w:rPr>
          <w:rFonts w:cs="Times New Roman"/>
          <w:i/>
          <w:iCs/>
        </w:rPr>
        <w:t>In vivo immune activation and tumor microenvironment analysis</w:t>
      </w:r>
      <w:r w:rsidRPr="00590996">
        <w:rPr>
          <w:rFonts w:cs="Times New Roman" w:hint="eastAsia"/>
        </w:rPr>
        <w:t xml:space="preserve">: </w:t>
      </w:r>
      <w:r w:rsidR="004A7784" w:rsidRPr="00590996">
        <w:rPr>
          <w:rFonts w:cs="Times New Roman"/>
        </w:rPr>
        <w:t xml:space="preserve">Tumors were harvested 2 days after treatment for histological analysis and </w:t>
      </w:r>
      <w:r w:rsidR="004A7784" w:rsidRPr="00590996">
        <w:rPr>
          <w:rFonts w:cs="Times New Roman" w:hint="eastAsia"/>
        </w:rPr>
        <w:t>3</w:t>
      </w:r>
      <w:r w:rsidR="004A7784" w:rsidRPr="00590996">
        <w:rPr>
          <w:rFonts w:cs="Times New Roman"/>
        </w:rPr>
        <w:t xml:space="preserve"> days after treatment for flow cytometric and cytokine analyses.</w:t>
      </w:r>
      <w:r w:rsidRPr="00590996">
        <w:rPr>
          <w:rFonts w:cs="Times New Roman"/>
        </w:rPr>
        <w:t xml:space="preserve"> Tumor tissues were processed for H&amp;E staining, </w:t>
      </w:r>
      <w:r w:rsidRPr="00590996">
        <w:rPr>
          <w:rFonts w:cs="Times New Roman" w:hint="eastAsia"/>
        </w:rPr>
        <w:t xml:space="preserve">Ki67 </w:t>
      </w:r>
      <w:r w:rsidRPr="00590996">
        <w:rPr>
          <w:rFonts w:cs="Times New Roman"/>
        </w:rPr>
        <w:t>immunohistochemistry</w:t>
      </w:r>
      <w:r w:rsidRPr="00590996">
        <w:rPr>
          <w:rFonts w:cs="Times New Roman" w:hint="eastAsia"/>
        </w:rPr>
        <w:t xml:space="preserve"> (CST</w:t>
      </w:r>
      <w:r w:rsidRPr="00590996">
        <w:rPr>
          <w:rFonts w:cs="Times New Roman"/>
        </w:rPr>
        <w:t>,</w:t>
      </w:r>
      <w:r w:rsidRPr="00590996">
        <w:rPr>
          <w:rFonts w:cs="Times New Roman" w:hint="eastAsia"/>
        </w:rPr>
        <w:t xml:space="preserve"> </w:t>
      </w:r>
      <w:r w:rsidRPr="00590996">
        <w:rPr>
          <w:rFonts w:cs="Times New Roman"/>
        </w:rPr>
        <w:t>9449S</w:t>
      </w:r>
      <w:r w:rsidRPr="00590996">
        <w:rPr>
          <w:rFonts w:cs="Times New Roman" w:hint="eastAsia"/>
        </w:rPr>
        <w:t>)</w:t>
      </w:r>
      <w:r w:rsidRPr="00590996">
        <w:rPr>
          <w:rFonts w:cs="Times New Roman"/>
        </w:rPr>
        <w:t xml:space="preserve">, and </w:t>
      </w:r>
      <w:r w:rsidRPr="00590996">
        <w:rPr>
          <w:rFonts w:cs="Times New Roman" w:hint="eastAsia"/>
        </w:rPr>
        <w:t>TUNEL staining (</w:t>
      </w:r>
      <w:r w:rsidRPr="00590996">
        <w:rPr>
          <w:rFonts w:cs="Times New Roman"/>
        </w:rPr>
        <w:t>Beyotime, Jiangsu, China</w:t>
      </w:r>
      <w:r w:rsidRPr="00590996">
        <w:rPr>
          <w:rFonts w:cs="Times New Roman" w:hint="eastAsia"/>
        </w:rPr>
        <w:t xml:space="preserve">) </w:t>
      </w:r>
      <w:r w:rsidRPr="00590996">
        <w:rPr>
          <w:rFonts w:cs="Times New Roman"/>
        </w:rPr>
        <w:t>to assess tissue damage</w:t>
      </w:r>
      <w:r w:rsidRPr="00590996">
        <w:rPr>
          <w:rFonts w:cs="Times New Roman" w:hint="eastAsia"/>
        </w:rPr>
        <w:t xml:space="preserve"> and</w:t>
      </w:r>
      <w:r w:rsidRPr="00590996">
        <w:rPr>
          <w:rFonts w:cs="Times New Roman"/>
        </w:rPr>
        <w:t xml:space="preserve"> proliferation.</w:t>
      </w:r>
      <w:r w:rsidRPr="00590996">
        <w:rPr>
          <w:rFonts w:cs="Times New Roman" w:hint="eastAsia"/>
        </w:rPr>
        <w:t xml:space="preserve"> </w:t>
      </w:r>
      <w:r w:rsidRPr="00590996">
        <w:rPr>
          <w:rFonts w:cs="Times New Roman"/>
        </w:rPr>
        <w:t>Immunofluorescence staining was further performed to evaluate intratumoral CD4</w:t>
      </w:r>
      <w:r w:rsidRPr="00590996">
        <w:rPr>
          <w:rFonts w:cs="Times New Roman" w:hint="eastAsia"/>
        </w:rPr>
        <w:t xml:space="preserve"> (</w:t>
      </w:r>
      <w:r w:rsidRPr="00590996">
        <w:rPr>
          <w:rFonts w:cs="Times New Roman"/>
        </w:rPr>
        <w:t>GB11064</w:t>
      </w:r>
      <w:r w:rsidRPr="00590996">
        <w:rPr>
          <w:rFonts w:cs="Times New Roman" w:hint="eastAsia"/>
        </w:rPr>
        <w:t>)</w:t>
      </w:r>
      <w:r w:rsidRPr="00590996">
        <w:rPr>
          <w:rFonts w:cs="Times New Roman"/>
        </w:rPr>
        <w:t xml:space="preserve"> and CD8</w:t>
      </w:r>
      <w:r w:rsidRPr="00590996">
        <w:rPr>
          <w:rFonts w:cs="Times New Roman" w:hint="eastAsia"/>
        </w:rPr>
        <w:t xml:space="preserve"> (</w:t>
      </w:r>
      <w:r w:rsidRPr="00590996">
        <w:rPr>
          <w:rFonts w:cs="Times New Roman"/>
        </w:rPr>
        <w:t>Servicebio,</w:t>
      </w:r>
      <w:r w:rsidRPr="00590996">
        <w:rPr>
          <w:rFonts w:cs="Times New Roman" w:hint="eastAsia"/>
        </w:rPr>
        <w:t xml:space="preserve"> </w:t>
      </w:r>
      <w:r w:rsidRPr="00590996">
        <w:rPr>
          <w:rFonts w:cs="Times New Roman"/>
        </w:rPr>
        <w:t>GB11068</w:t>
      </w:r>
      <w:r w:rsidRPr="00590996">
        <w:rPr>
          <w:rFonts w:cs="Times New Roman" w:hint="eastAsia"/>
        </w:rPr>
        <w:t>)</w:t>
      </w:r>
      <w:r w:rsidRPr="00590996">
        <w:rPr>
          <w:rFonts w:cs="Times New Roman"/>
        </w:rPr>
        <w:t xml:space="preserve"> T-cell infiltration.</w:t>
      </w:r>
      <w:r w:rsidRPr="00590996">
        <w:rPr>
          <w:rFonts w:cs="Times New Roman" w:hint="eastAsia"/>
        </w:rPr>
        <w:t xml:space="preserve"> </w:t>
      </w:r>
      <w:r w:rsidRPr="00590996">
        <w:rPr>
          <w:rFonts w:cs="Times New Roman"/>
        </w:rPr>
        <w:t>For flow cytometric analysis, tumors were enzymatically dissociated into single-cell suspensions</w:t>
      </w:r>
      <w:r w:rsidRPr="00590996">
        <w:rPr>
          <w:rFonts w:cs="Times New Roman" w:hint="eastAsia"/>
        </w:rPr>
        <w:t xml:space="preserve"> and</w:t>
      </w:r>
      <w:r w:rsidRPr="00590996">
        <w:rPr>
          <w:rFonts w:cs="Times New Roman"/>
        </w:rPr>
        <w:t xml:space="preserve"> </w:t>
      </w:r>
      <w:r w:rsidRPr="00590996">
        <w:rPr>
          <w:rFonts w:cs="Times New Roman" w:hint="eastAsia"/>
        </w:rPr>
        <w:t>t</w:t>
      </w:r>
      <w:r w:rsidRPr="00590996">
        <w:rPr>
          <w:rFonts w:cs="Times New Roman"/>
        </w:rPr>
        <w:t>umor-infiltrating lymphocytes were analyzed for CD3</w:t>
      </w:r>
      <w:r w:rsidRPr="00590996">
        <w:rPr>
          <w:rFonts w:cs="Times New Roman" w:hint="eastAsia"/>
          <w:vertAlign w:val="superscript"/>
        </w:rPr>
        <w:t>+</w:t>
      </w:r>
      <w:r w:rsidR="006927D7" w:rsidRPr="00590996">
        <w:rPr>
          <w:rFonts w:cs="Times New Roman" w:hint="eastAsia"/>
        </w:rPr>
        <w:t xml:space="preserve"> T cell</w:t>
      </w:r>
      <w:r w:rsidRPr="00590996">
        <w:rPr>
          <w:rFonts w:cs="Times New Roman" w:hint="eastAsia"/>
        </w:rPr>
        <w:t xml:space="preserve"> (eBioscience</w:t>
      </w:r>
      <w:r w:rsidRPr="00590996">
        <w:rPr>
          <w:rFonts w:cs="Times New Roman"/>
        </w:rPr>
        <w:t>™</w:t>
      </w:r>
      <w:r w:rsidRPr="00590996">
        <w:rPr>
          <w:rFonts w:cs="Times New Roman" w:hint="eastAsia"/>
        </w:rPr>
        <w:t>, 12-0081-82)</w:t>
      </w:r>
      <w:r w:rsidRPr="00590996">
        <w:rPr>
          <w:rFonts w:cs="Times New Roman"/>
        </w:rPr>
        <w:t>, CD4</w:t>
      </w:r>
      <w:r w:rsidRPr="00590996">
        <w:rPr>
          <w:rFonts w:cs="Times New Roman" w:hint="eastAsia"/>
          <w:vertAlign w:val="superscript"/>
        </w:rPr>
        <w:t>+</w:t>
      </w:r>
      <w:r w:rsidRPr="00590996">
        <w:rPr>
          <w:rFonts w:cs="Times New Roman" w:hint="eastAsia"/>
        </w:rPr>
        <w:t xml:space="preserve"> </w:t>
      </w:r>
      <w:r w:rsidR="006927D7" w:rsidRPr="00590996">
        <w:rPr>
          <w:rFonts w:cs="Times New Roman" w:hint="eastAsia"/>
        </w:rPr>
        <w:t xml:space="preserve">T cell </w:t>
      </w:r>
      <w:r w:rsidRPr="00590996">
        <w:rPr>
          <w:rFonts w:cs="Times New Roman" w:hint="eastAsia"/>
        </w:rPr>
        <w:t>(eBioscience</w:t>
      </w:r>
      <w:r w:rsidRPr="00590996">
        <w:rPr>
          <w:rFonts w:cs="Times New Roman"/>
        </w:rPr>
        <w:t>™</w:t>
      </w:r>
      <w:r w:rsidRPr="00590996">
        <w:rPr>
          <w:rFonts w:cs="Times New Roman" w:hint="eastAsia"/>
        </w:rPr>
        <w:t xml:space="preserve">, </w:t>
      </w:r>
      <w:r w:rsidRPr="00590996">
        <w:rPr>
          <w:rFonts w:cs="Times New Roman"/>
        </w:rPr>
        <w:t>11-0042-85</w:t>
      </w:r>
      <w:r w:rsidRPr="00590996">
        <w:rPr>
          <w:rFonts w:cs="Times New Roman" w:hint="eastAsia"/>
        </w:rPr>
        <w:t>)</w:t>
      </w:r>
      <w:r w:rsidRPr="00590996">
        <w:rPr>
          <w:rFonts w:cs="Times New Roman"/>
        </w:rPr>
        <w:t>, CD8</w:t>
      </w:r>
      <w:r w:rsidRPr="00590996">
        <w:rPr>
          <w:rFonts w:cs="Times New Roman" w:hint="eastAsia"/>
          <w:vertAlign w:val="superscript"/>
        </w:rPr>
        <w:t>+</w:t>
      </w:r>
      <w:r w:rsidRPr="00590996">
        <w:rPr>
          <w:rFonts w:cs="Times New Roman" w:hint="eastAsia"/>
        </w:rPr>
        <w:t xml:space="preserve"> </w:t>
      </w:r>
      <w:r w:rsidR="006927D7" w:rsidRPr="00590996">
        <w:rPr>
          <w:rFonts w:cs="Times New Roman" w:hint="eastAsia"/>
        </w:rPr>
        <w:t xml:space="preserve">T cell </w:t>
      </w:r>
      <w:r w:rsidRPr="00590996">
        <w:rPr>
          <w:rFonts w:cs="Times New Roman" w:hint="eastAsia"/>
        </w:rPr>
        <w:t>(eBioscience</w:t>
      </w:r>
      <w:r w:rsidRPr="00590996">
        <w:rPr>
          <w:rFonts w:cs="Times New Roman"/>
        </w:rPr>
        <w:t>™</w:t>
      </w:r>
      <w:r w:rsidRPr="00590996">
        <w:rPr>
          <w:rFonts w:cs="Times New Roman" w:hint="eastAsia"/>
        </w:rPr>
        <w:t xml:space="preserve">, </w:t>
      </w:r>
      <w:r w:rsidRPr="00590996">
        <w:rPr>
          <w:rFonts w:cs="Times New Roman"/>
        </w:rPr>
        <w:t>12-0081-82</w:t>
      </w:r>
      <w:r w:rsidRPr="00590996">
        <w:rPr>
          <w:rFonts w:cs="Times New Roman" w:hint="eastAsia"/>
        </w:rPr>
        <w:t>)</w:t>
      </w:r>
      <w:r w:rsidRPr="00590996">
        <w:rPr>
          <w:rFonts w:cs="Times New Roman"/>
        </w:rPr>
        <w:t>, and</w:t>
      </w:r>
      <w:r w:rsidRPr="00590996">
        <w:rPr>
          <w:rFonts w:cs="Times New Roman" w:hint="eastAsia"/>
        </w:rPr>
        <w:t xml:space="preserve"> CD4</w:t>
      </w:r>
      <w:r w:rsidRPr="00590996">
        <w:rPr>
          <w:rFonts w:cs="Times New Roman" w:hint="eastAsia"/>
          <w:vertAlign w:val="superscript"/>
        </w:rPr>
        <w:t>+</w:t>
      </w:r>
      <w:r w:rsidRPr="00590996">
        <w:rPr>
          <w:rFonts w:cs="Times New Roman"/>
        </w:rPr>
        <w:t xml:space="preserve"> Foxp3</w:t>
      </w:r>
      <w:r w:rsidRPr="00590996">
        <w:rPr>
          <w:rFonts w:cs="Times New Roman" w:hint="eastAsia"/>
          <w:vertAlign w:val="superscript"/>
        </w:rPr>
        <w:t>+</w:t>
      </w:r>
      <w:r w:rsidRPr="00590996">
        <w:rPr>
          <w:rFonts w:cs="Times New Roman" w:hint="eastAsia"/>
        </w:rPr>
        <w:t xml:space="preserve"> </w:t>
      </w:r>
      <w:r w:rsidRPr="00590996">
        <w:rPr>
          <w:rFonts w:cs="Times New Roman"/>
        </w:rPr>
        <w:t>(</w:t>
      </w:r>
      <w:r w:rsidRPr="00590996">
        <w:rPr>
          <w:rFonts w:cs="Times New Roman" w:hint="eastAsia"/>
        </w:rPr>
        <w:t>eBioscience</w:t>
      </w:r>
      <w:r w:rsidRPr="00590996">
        <w:rPr>
          <w:rFonts w:cs="Times New Roman"/>
        </w:rPr>
        <w:t>™</w:t>
      </w:r>
      <w:r w:rsidRPr="00590996">
        <w:rPr>
          <w:rFonts w:cs="Times New Roman" w:hint="eastAsia"/>
        </w:rPr>
        <w:t xml:space="preserve">, </w:t>
      </w:r>
      <w:r w:rsidRPr="00590996">
        <w:t>25-5773-80</w:t>
      </w:r>
      <w:r w:rsidRPr="00590996">
        <w:rPr>
          <w:rFonts w:cs="Times New Roman"/>
        </w:rPr>
        <w:t>)</w:t>
      </w:r>
      <w:r w:rsidRPr="00590996">
        <w:rPr>
          <w:rFonts w:cs="Times New Roman" w:hint="eastAsia"/>
        </w:rPr>
        <w:t xml:space="preserve"> </w:t>
      </w:r>
      <w:r w:rsidRPr="00590996">
        <w:rPr>
          <w:rFonts w:cs="Times New Roman"/>
        </w:rPr>
        <w:t>Treg populations. Cytokine levels</w:t>
      </w:r>
      <w:r w:rsidRPr="00590996">
        <w:rPr>
          <w:rFonts w:cs="Times New Roman" w:hint="eastAsia"/>
        </w:rPr>
        <w:t>, including</w:t>
      </w:r>
      <w:r w:rsidRPr="00590996">
        <w:rPr>
          <w:rFonts w:cs="Times New Roman"/>
        </w:rPr>
        <w:t xml:space="preserve"> TNF-α</w:t>
      </w:r>
      <w:r w:rsidRPr="00590996">
        <w:rPr>
          <w:rFonts w:cs="Times New Roman" w:hint="eastAsia"/>
        </w:rPr>
        <w:t xml:space="preserve"> (</w:t>
      </w:r>
      <w:r w:rsidRPr="00590996">
        <w:rPr>
          <w:rFonts w:cs="Times New Roman"/>
        </w:rPr>
        <w:t>Boster, EK0527</w:t>
      </w:r>
      <w:r w:rsidRPr="00590996">
        <w:rPr>
          <w:rFonts w:cs="Times New Roman" w:hint="eastAsia"/>
        </w:rPr>
        <w:t>)</w:t>
      </w:r>
      <w:r w:rsidRPr="00590996">
        <w:rPr>
          <w:rFonts w:cs="Times New Roman"/>
        </w:rPr>
        <w:t>, IFN-γ</w:t>
      </w:r>
      <w:r w:rsidRPr="00590996">
        <w:rPr>
          <w:rFonts w:cs="Times New Roman" w:hint="eastAsia"/>
        </w:rPr>
        <w:t xml:space="preserve"> (</w:t>
      </w:r>
      <w:r w:rsidRPr="00590996">
        <w:rPr>
          <w:rFonts w:cs="Times New Roman"/>
        </w:rPr>
        <w:t>Boster, EK0375</w:t>
      </w:r>
      <w:r w:rsidRPr="00590996">
        <w:rPr>
          <w:rFonts w:cs="Times New Roman" w:hint="eastAsia"/>
        </w:rPr>
        <w:t>)</w:t>
      </w:r>
      <w:r w:rsidRPr="00590996">
        <w:rPr>
          <w:rFonts w:cs="Times New Roman"/>
        </w:rPr>
        <w:t>, IFN-β</w:t>
      </w:r>
      <w:r w:rsidRPr="00590996">
        <w:rPr>
          <w:rFonts w:cs="Times New Roman" w:hint="eastAsia"/>
        </w:rPr>
        <w:t xml:space="preserve"> (</w:t>
      </w:r>
      <w:r w:rsidRPr="00590996">
        <w:rPr>
          <w:rFonts w:hint="eastAsia"/>
        </w:rPr>
        <w:t>FANKEW, F2124-A</w:t>
      </w:r>
      <w:r w:rsidRPr="00590996">
        <w:rPr>
          <w:rFonts w:cs="Times New Roman" w:hint="eastAsia"/>
        </w:rPr>
        <w:t>)</w:t>
      </w:r>
      <w:r w:rsidRPr="00590996">
        <w:rPr>
          <w:rFonts w:cs="Times New Roman"/>
        </w:rPr>
        <w:t>, IL-6</w:t>
      </w:r>
      <w:r w:rsidRPr="00590996">
        <w:rPr>
          <w:rFonts w:cs="Times New Roman" w:hint="eastAsia"/>
        </w:rPr>
        <w:t xml:space="preserve"> (</w:t>
      </w:r>
      <w:r w:rsidRPr="00590996">
        <w:rPr>
          <w:rFonts w:cs="Times New Roman"/>
        </w:rPr>
        <w:t>Boster, EK0411</w:t>
      </w:r>
      <w:r w:rsidRPr="00590996">
        <w:rPr>
          <w:rFonts w:cs="Times New Roman" w:hint="eastAsia"/>
        </w:rPr>
        <w:t>)</w:t>
      </w:r>
      <w:r w:rsidRPr="00590996">
        <w:rPr>
          <w:rFonts w:cs="Times New Roman"/>
        </w:rPr>
        <w:t>, IL-10</w:t>
      </w:r>
      <w:r w:rsidRPr="00590996">
        <w:rPr>
          <w:rFonts w:cs="Times New Roman" w:hint="eastAsia"/>
        </w:rPr>
        <w:t xml:space="preserve"> (</w:t>
      </w:r>
      <w:r w:rsidRPr="00590996">
        <w:rPr>
          <w:rFonts w:cs="Times New Roman"/>
        </w:rPr>
        <w:t>Boster, EK0417</w:t>
      </w:r>
      <w:r w:rsidRPr="00590996">
        <w:rPr>
          <w:rFonts w:cs="Times New Roman" w:hint="eastAsia"/>
        </w:rPr>
        <w:t>)</w:t>
      </w:r>
      <w:r w:rsidRPr="00590996">
        <w:rPr>
          <w:rFonts w:cs="Times New Roman"/>
        </w:rPr>
        <w:t>,</w:t>
      </w:r>
      <w:r w:rsidRPr="00590996">
        <w:rPr>
          <w:rFonts w:cs="Times New Roman" w:hint="eastAsia"/>
        </w:rPr>
        <w:t xml:space="preserve"> TG</w:t>
      </w:r>
      <w:r w:rsidRPr="00590996">
        <w:rPr>
          <w:rFonts w:cs="Times New Roman"/>
        </w:rPr>
        <w:t>Fβ</w:t>
      </w:r>
      <w:r w:rsidRPr="00590996">
        <w:rPr>
          <w:rFonts w:cs="Times New Roman" w:hint="eastAsia"/>
        </w:rPr>
        <w:t xml:space="preserve"> (</w:t>
      </w:r>
      <w:r w:rsidRPr="00590996">
        <w:rPr>
          <w:rFonts w:cs="Times New Roman"/>
        </w:rPr>
        <w:t>Boster, EK0515</w:t>
      </w:r>
      <w:r w:rsidRPr="00590996">
        <w:rPr>
          <w:rFonts w:cs="Times New Roman" w:hint="eastAsia"/>
        </w:rPr>
        <w:t>)</w:t>
      </w:r>
      <w:r w:rsidRPr="00590996">
        <w:rPr>
          <w:rFonts w:cs="Times New Roman"/>
        </w:rPr>
        <w:t xml:space="preserve"> and granzyme B</w:t>
      </w:r>
      <w:r w:rsidRPr="00590996">
        <w:rPr>
          <w:rFonts w:cs="Times New Roman" w:hint="eastAsia"/>
        </w:rPr>
        <w:t xml:space="preserve"> (</w:t>
      </w:r>
      <w:r w:rsidRPr="00590996">
        <w:rPr>
          <w:rFonts w:cs="Times New Roman"/>
        </w:rPr>
        <w:t>Boster, EK1115</w:t>
      </w:r>
      <w:r w:rsidRPr="00590996">
        <w:rPr>
          <w:rFonts w:cs="Times New Roman" w:hint="eastAsia"/>
        </w:rPr>
        <w:t>),</w:t>
      </w:r>
      <w:r w:rsidRPr="00590996">
        <w:rPr>
          <w:rFonts w:cs="Times New Roman"/>
        </w:rPr>
        <w:t xml:space="preserve"> in tumor lysates were quantified by ELISA. Selected tumor samples were further subjected to bulk RNA sequencing for transcriptomic analysis.</w:t>
      </w:r>
    </w:p>
    <w:p w14:paraId="76673F9F" w14:textId="77777777" w:rsidR="00266A32" w:rsidRPr="00590996" w:rsidRDefault="00266A32" w:rsidP="003748BF">
      <w:pPr>
        <w:spacing w:before="120" w:after="120" w:line="240" w:lineRule="auto"/>
        <w:ind w:firstLineChars="200" w:firstLine="480"/>
        <w:jc w:val="both"/>
        <w:rPr>
          <w:rFonts w:cs="Times New Roman"/>
        </w:rPr>
      </w:pPr>
      <w:r w:rsidRPr="00590996">
        <w:rPr>
          <w:rFonts w:cs="Times New Roman"/>
          <w:i/>
          <w:iCs/>
        </w:rPr>
        <w:t>Evaluation of STING dependence in vivo</w:t>
      </w:r>
      <w:r w:rsidRPr="00590996">
        <w:rPr>
          <w:rFonts w:cs="Times New Roman" w:hint="eastAsia"/>
        </w:rPr>
        <w:t xml:space="preserve">: </w:t>
      </w:r>
      <w:r w:rsidRPr="00590996">
        <w:rPr>
          <w:rFonts w:cs="Times New Roman"/>
        </w:rPr>
        <w:t>To assess STING dependency, Hepa1-6 tumors were established in STING</w:t>
      </w:r>
      <w:r w:rsidRPr="00590996">
        <w:rPr>
          <w:rFonts w:cs="Times New Roman" w:hint="eastAsia"/>
        </w:rPr>
        <w:t>-KO</w:t>
      </w:r>
      <w:r w:rsidRPr="00590996">
        <w:rPr>
          <w:rFonts w:cs="Times New Roman"/>
        </w:rPr>
        <w:t xml:space="preserve"> mice. Mice received intratumoral injection of MCI-NP or PBS following the same treatment schedule as wild-type mice. Tumor growth, body weight, and final tumor weights were recorded to evaluate therapeutic efficacy in the absence of functional STING signaling</w:t>
      </w:r>
      <w:r w:rsidRPr="00590996">
        <w:rPr>
          <w:rFonts w:cs="Times New Roman" w:hint="eastAsia"/>
        </w:rPr>
        <w:t>.</w:t>
      </w:r>
    </w:p>
    <w:p w14:paraId="72009B76" w14:textId="77777777" w:rsidR="00266A32" w:rsidRPr="00590996" w:rsidRDefault="00266A32" w:rsidP="003748BF">
      <w:pPr>
        <w:spacing w:before="120" w:after="120" w:line="240" w:lineRule="auto"/>
        <w:ind w:firstLineChars="200" w:firstLine="480"/>
        <w:jc w:val="both"/>
        <w:rPr>
          <w:rFonts w:cs="Times New Roman"/>
        </w:rPr>
      </w:pPr>
      <w:r w:rsidRPr="00590996">
        <w:rPr>
          <w:rFonts w:cs="Times New Roman"/>
          <w:i/>
          <w:iCs/>
        </w:rPr>
        <w:t>Postoperative lung metastasis and immune memory evaluation</w:t>
      </w:r>
      <w:r w:rsidRPr="00590996">
        <w:rPr>
          <w:rFonts w:cs="Times New Roman" w:hint="eastAsia"/>
        </w:rPr>
        <w:t xml:space="preserve">: </w:t>
      </w:r>
      <w:r w:rsidRPr="00590996">
        <w:rPr>
          <w:rFonts w:cs="Times New Roman"/>
        </w:rPr>
        <w:t>To evaluate antimetastatic immune memory, primary tumors were surgically resected after treatment. Seven days post-surgery, mice were intravenously challenged with Hepa1-6-Luc cells (5 × 10</w:t>
      </w:r>
      <w:r w:rsidRPr="00590996">
        <w:rPr>
          <w:rFonts w:cs="Times New Roman" w:hint="eastAsia"/>
          <w:vertAlign w:val="superscript"/>
        </w:rPr>
        <w:t>5</w:t>
      </w:r>
      <w:r w:rsidRPr="00590996">
        <w:rPr>
          <w:rFonts w:cs="Times New Roman"/>
        </w:rPr>
        <w:t xml:space="preserve"> cells per mouse). Lung metastasis was monitored by bioluminescence imaging at weekly intervals following intraperitoneal injection of D-luciferin (150 mg·kg</w:t>
      </w:r>
      <w:r w:rsidRPr="00590996">
        <w:rPr>
          <w:rFonts w:cs="Times New Roman" w:hint="eastAsia"/>
          <w:vertAlign w:val="superscript"/>
        </w:rPr>
        <w:t>-1</w:t>
      </w:r>
      <w:r w:rsidRPr="00590996">
        <w:rPr>
          <w:rFonts w:cs="Times New Roman"/>
        </w:rPr>
        <w:t>).</w:t>
      </w:r>
      <w:r w:rsidRPr="00590996">
        <w:rPr>
          <w:rFonts w:cs="Times New Roman" w:hint="eastAsia"/>
        </w:rPr>
        <w:t xml:space="preserve"> Three weeks after </w:t>
      </w:r>
      <w:r w:rsidRPr="00590996">
        <w:rPr>
          <w:rFonts w:cs="Times New Roman"/>
        </w:rPr>
        <w:t>tumor cell challenge, lungs were collected for gross examination and H&amp;E staining to quantify metastatic nodules. Peripheral blood mononuclear cells were isolated and analyzed by flow cytometry to assess effector memory T</w:t>
      </w:r>
      <w:r w:rsidRPr="00590996">
        <w:rPr>
          <w:rFonts w:cs="Times New Roman" w:hint="eastAsia"/>
        </w:rPr>
        <w:t>-</w:t>
      </w:r>
      <w:r w:rsidRPr="00590996">
        <w:rPr>
          <w:rFonts w:cs="Times New Roman"/>
        </w:rPr>
        <w:t>cel</w:t>
      </w:r>
      <w:r w:rsidRPr="00590996">
        <w:rPr>
          <w:rFonts w:cs="Times New Roman" w:hint="eastAsia"/>
        </w:rPr>
        <w:t>l populations.</w:t>
      </w:r>
      <w:r w:rsidRPr="00590996">
        <w:rPr>
          <w:rFonts w:cs="Times New Roman"/>
        </w:rPr>
        <w:t xml:space="preserve"> Effector memory T cells were defined as CD44</w:t>
      </w:r>
      <w:r w:rsidRPr="00590996">
        <w:rPr>
          <w:rFonts w:cs="Times New Roman"/>
          <w:vertAlign w:val="superscript"/>
        </w:rPr>
        <w:t>+</w:t>
      </w:r>
      <w:r w:rsidRPr="00590996">
        <w:rPr>
          <w:rFonts w:cs="Times New Roman" w:hint="eastAsia"/>
        </w:rPr>
        <w:t xml:space="preserve"> (</w:t>
      </w:r>
      <w:r w:rsidRPr="00590996">
        <w:rPr>
          <w:rFonts w:cs="Times New Roman"/>
        </w:rPr>
        <w:t>eBioscience™, 25-0441-82</w:t>
      </w:r>
      <w:r w:rsidRPr="00590996">
        <w:rPr>
          <w:rFonts w:cs="Times New Roman" w:hint="eastAsia"/>
        </w:rPr>
        <w:t>)</w:t>
      </w:r>
      <w:r w:rsidRPr="00590996">
        <w:rPr>
          <w:rFonts w:cs="Times New Roman"/>
        </w:rPr>
        <w:t xml:space="preserve"> CD62L</w:t>
      </w:r>
      <w:r w:rsidRPr="00590996">
        <w:rPr>
          <w:rFonts w:cs="Times New Roman"/>
          <w:vertAlign w:val="superscript"/>
        </w:rPr>
        <w:t>−</w:t>
      </w:r>
      <w:r w:rsidRPr="00590996">
        <w:rPr>
          <w:rFonts w:cs="Times New Roman" w:hint="eastAsia"/>
        </w:rPr>
        <w:t xml:space="preserve"> (</w:t>
      </w:r>
      <w:r w:rsidRPr="00590996">
        <w:rPr>
          <w:rFonts w:cs="Times New Roman"/>
        </w:rPr>
        <w:t>eBioscience™,</w:t>
      </w:r>
      <w:r w:rsidRPr="00590996">
        <w:rPr>
          <w:rFonts w:cs="Times New Roman" w:hint="eastAsia"/>
        </w:rPr>
        <w:t xml:space="preserve"> </w:t>
      </w:r>
      <w:r w:rsidRPr="00590996">
        <w:rPr>
          <w:rFonts w:cs="Times New Roman"/>
        </w:rPr>
        <w:t>45-0621-82</w:t>
      </w:r>
      <w:r w:rsidRPr="00590996">
        <w:rPr>
          <w:rFonts w:cs="Times New Roman" w:hint="eastAsia"/>
        </w:rPr>
        <w:t>)</w:t>
      </w:r>
      <w:r w:rsidRPr="00590996">
        <w:rPr>
          <w:rFonts w:cs="Times New Roman"/>
        </w:rPr>
        <w:t xml:space="preserve"> </w:t>
      </w:r>
      <w:r w:rsidRPr="00590996">
        <w:rPr>
          <w:rFonts w:cs="Times New Roman" w:hint="eastAsia"/>
        </w:rPr>
        <w:t>subsets</w:t>
      </w:r>
      <w:r w:rsidRPr="00590996">
        <w:rPr>
          <w:rFonts w:cs="Times New Roman"/>
        </w:rPr>
        <w:t xml:space="preserve"> within CD4</w:t>
      </w:r>
      <w:r w:rsidRPr="00590996">
        <w:rPr>
          <w:rFonts w:cs="Times New Roman"/>
          <w:vertAlign w:val="superscript"/>
        </w:rPr>
        <w:t>+</w:t>
      </w:r>
      <w:r w:rsidRPr="00590996">
        <w:rPr>
          <w:rFonts w:cs="Times New Roman"/>
        </w:rPr>
        <w:t xml:space="preserve"> and CD8</w:t>
      </w:r>
      <w:r w:rsidRPr="00590996">
        <w:rPr>
          <w:rFonts w:cs="Times New Roman"/>
          <w:vertAlign w:val="superscript"/>
        </w:rPr>
        <w:t>+</w:t>
      </w:r>
      <w:r w:rsidRPr="00590996">
        <w:rPr>
          <w:rFonts w:cs="Times New Roman"/>
        </w:rPr>
        <w:t xml:space="preserve"> T cells.</w:t>
      </w:r>
    </w:p>
    <w:p w14:paraId="1C5902DE" w14:textId="7F1C0E5B" w:rsidR="00266A32" w:rsidRPr="00590996" w:rsidRDefault="00266A32" w:rsidP="003748BF">
      <w:pPr>
        <w:spacing w:before="120" w:after="120" w:line="240" w:lineRule="auto"/>
        <w:ind w:firstLineChars="200" w:firstLine="480"/>
        <w:jc w:val="both"/>
        <w:rPr>
          <w:rFonts w:cs="Times New Roman"/>
        </w:rPr>
      </w:pPr>
      <w:r w:rsidRPr="00590996">
        <w:rPr>
          <w:rFonts w:cs="Times New Roman" w:hint="eastAsia"/>
          <w:i/>
          <w:iCs/>
        </w:rPr>
        <w:t>In vivo b</w:t>
      </w:r>
      <w:r w:rsidRPr="00590996">
        <w:rPr>
          <w:rFonts w:cs="Times New Roman"/>
          <w:i/>
          <w:iCs/>
        </w:rPr>
        <w:t>iosafety evaluation</w:t>
      </w:r>
      <w:r w:rsidRPr="00590996">
        <w:rPr>
          <w:rFonts w:cs="Times New Roman" w:hint="eastAsia"/>
        </w:rPr>
        <w:t xml:space="preserve">: </w:t>
      </w:r>
      <w:r w:rsidRPr="00590996">
        <w:rPr>
          <w:rFonts w:cs="Times New Roman"/>
        </w:rPr>
        <w:t xml:space="preserve">The </w:t>
      </w:r>
      <w:r w:rsidRPr="00590996">
        <w:rPr>
          <w:rFonts w:cs="Times New Roman"/>
          <w:i/>
          <w:iCs/>
        </w:rPr>
        <w:t>in vivo</w:t>
      </w:r>
      <w:r w:rsidRPr="00590996">
        <w:rPr>
          <w:rFonts w:cs="Times New Roman"/>
        </w:rPr>
        <w:t xml:space="preserve"> biosafety of MCI-NP@mPD-1 was assessed by hemolysis assay, hematological and serum biochemical analysis, and histological examination.</w:t>
      </w:r>
      <w:r w:rsidRPr="00590996">
        <w:rPr>
          <w:rFonts w:cs="Times New Roman" w:hint="eastAsia"/>
        </w:rPr>
        <w:t xml:space="preserve"> </w:t>
      </w:r>
      <w:r w:rsidRPr="00590996">
        <w:rPr>
          <w:rFonts w:cs="Times New Roman"/>
        </w:rPr>
        <w:t>Fresh mouse red blood cells (RBCs) were isolated by centrifugation and washed with PBS to prepare a 5% RBC suspension. MCI-NP@mPD-1 at different concentrations (0</w:t>
      </w:r>
      <w:r w:rsidRPr="00590996">
        <w:rPr>
          <w:rFonts w:cs="Times New Roman" w:hint="eastAsia"/>
        </w:rPr>
        <w:t>-</w:t>
      </w:r>
      <w:r w:rsidRPr="00590996">
        <w:rPr>
          <w:rFonts w:cs="Times New Roman"/>
        </w:rPr>
        <w:t>800 μg·mL</w:t>
      </w:r>
      <w:r w:rsidRPr="00590996">
        <w:rPr>
          <w:rFonts w:cs="Times New Roman" w:hint="eastAsia"/>
          <w:vertAlign w:val="superscript"/>
        </w:rPr>
        <w:t>-1</w:t>
      </w:r>
      <w:r w:rsidRPr="00590996">
        <w:rPr>
          <w:rFonts w:cs="Times New Roman"/>
        </w:rPr>
        <w:t>) was incubated with RBCs at 37 °C for 2 h, with PBS and ultrapure water serving as negative and positive controls, respectively. After centrifugation, absorbance of the supernatant was measured at 540 nm, and hemolysis ratios were calculated according to ASTM F756 standards.</w:t>
      </w:r>
      <w:r w:rsidRPr="00590996">
        <w:rPr>
          <w:rFonts w:cs="Times New Roman" w:hint="eastAsia"/>
        </w:rPr>
        <w:t xml:space="preserve"> </w:t>
      </w:r>
      <w:r w:rsidRPr="00590996">
        <w:rPr>
          <w:rFonts w:cs="Times New Roman"/>
        </w:rPr>
        <w:t>For systemic safety evaluation, healthy C57BL/6 mice were intravenously injected with MCI-NP@mPD-1 at the therapeutic dose</w:t>
      </w:r>
      <w:r w:rsidRPr="00590996">
        <w:rPr>
          <w:rFonts w:cs="Times New Roman" w:hint="eastAsia"/>
        </w:rPr>
        <w:t>,</w:t>
      </w:r>
      <w:r w:rsidRPr="00590996">
        <w:t xml:space="preserve"> </w:t>
      </w:r>
      <w:r w:rsidRPr="00590996">
        <w:rPr>
          <w:rFonts w:cs="Times New Roman"/>
        </w:rPr>
        <w:t>followed by hematological and serum biochemical analyses. Major organs (heart, liver, spleen, lung, and kidney) were harvested for H&amp;E staining.</w:t>
      </w:r>
      <w:r w:rsidR="005829B3" w:rsidRPr="00590996">
        <w:rPr>
          <w:rFonts w:cs="Times New Roman" w:hint="eastAsia"/>
        </w:rPr>
        <w:t xml:space="preserve"> </w:t>
      </w:r>
      <w:r w:rsidR="005829B3" w:rsidRPr="00590996">
        <w:rPr>
          <w:rFonts w:cs="Times New Roman"/>
        </w:rPr>
        <w:t>To further evaluate local tissue safety under photothermal treatment, skin tissues located approximately 2 mm surrounding the laser irradiation site (anterior, posterior, left, and right directions) were collected after treatment and subjected to H&amp;E staining for histological analysis of potential thermal damage.</w:t>
      </w:r>
    </w:p>
    <w:p w14:paraId="1DCFC203" w14:textId="3D31818C" w:rsidR="00266A32" w:rsidRPr="00590996" w:rsidRDefault="006E25F8" w:rsidP="003748BF">
      <w:pPr>
        <w:spacing w:before="120" w:after="120" w:line="240" w:lineRule="auto"/>
        <w:jc w:val="both"/>
        <w:rPr>
          <w:rFonts w:cs="Times New Roman"/>
          <w:b/>
          <w:bCs/>
        </w:rPr>
      </w:pPr>
      <w:r w:rsidRPr="00590996">
        <w:rPr>
          <w:rFonts w:cs="Times New Roman"/>
          <w:b/>
          <w:bCs/>
        </w:rPr>
        <w:t xml:space="preserve">S1.4 </w:t>
      </w:r>
      <w:r w:rsidR="00266A32" w:rsidRPr="00590996">
        <w:rPr>
          <w:rFonts w:cs="Times New Roman"/>
          <w:b/>
          <w:bCs/>
        </w:rPr>
        <w:t>Statistical Analysis</w:t>
      </w:r>
    </w:p>
    <w:p w14:paraId="4652ABE1" w14:textId="77777777" w:rsidR="00266A32" w:rsidRPr="00590996" w:rsidRDefault="00266A32" w:rsidP="003748BF">
      <w:pPr>
        <w:spacing w:before="120" w:after="120" w:line="240" w:lineRule="auto"/>
        <w:ind w:firstLineChars="200" w:firstLine="480"/>
        <w:jc w:val="both"/>
        <w:rPr>
          <w:rFonts w:cs="Times New Roman"/>
        </w:rPr>
      </w:pPr>
      <w:r w:rsidRPr="00590996">
        <w:rPr>
          <w:rFonts w:cs="Times New Roman"/>
        </w:rPr>
        <w:t xml:space="preserve">All statistical analyses were performed using GraphPad Prism 8.0.5 (GraphPad Software). Data are presented as mean ± standard deviation (SD) or as individual data points with the mean indicated, as specified in the figure legends. Statistical significance between two groups was assessed using two-tailed unpaired Student’s </w:t>
      </w:r>
      <w:r w:rsidRPr="00590996">
        <w:rPr>
          <w:rFonts w:cs="Times New Roman"/>
          <w:i/>
          <w:iCs/>
        </w:rPr>
        <w:t>t</w:t>
      </w:r>
      <w:r w:rsidRPr="00590996">
        <w:rPr>
          <w:rFonts w:cs="Times New Roman"/>
        </w:rPr>
        <w:t>-test, while comparisons among multiple groups were performed using one-way ANOVA as indicated. Survival data were analyzed using the log-rank (Mantel</w:t>
      </w:r>
      <w:r w:rsidRPr="00590996">
        <w:rPr>
          <w:rFonts w:cs="Times New Roman" w:hint="eastAsia"/>
        </w:rPr>
        <w:t>-</w:t>
      </w:r>
      <w:r w:rsidRPr="00590996">
        <w:rPr>
          <w:rFonts w:cs="Times New Roman"/>
        </w:rPr>
        <w:t xml:space="preserve">Cox) test. A </w:t>
      </w:r>
      <w:r w:rsidRPr="00590996">
        <w:rPr>
          <w:rFonts w:cs="Times New Roman"/>
          <w:i/>
          <w:iCs/>
        </w:rPr>
        <w:t>p</w:t>
      </w:r>
      <w:r w:rsidRPr="00590996">
        <w:rPr>
          <w:rFonts w:cs="Times New Roman"/>
        </w:rPr>
        <w:t xml:space="preserve"> value &lt; 0.05 was considered statistically significant (</w:t>
      </w:r>
      <w:r w:rsidRPr="00590996">
        <w:rPr>
          <w:rFonts w:cs="Times New Roman" w:hint="eastAsia"/>
        </w:rPr>
        <w:t>*</w:t>
      </w:r>
      <w:r w:rsidRPr="00590996">
        <w:rPr>
          <w:rFonts w:cs="Times New Roman"/>
          <w:i/>
          <w:iCs/>
        </w:rPr>
        <w:t>p</w:t>
      </w:r>
      <w:r w:rsidRPr="00590996">
        <w:rPr>
          <w:rFonts w:cs="Times New Roman"/>
        </w:rPr>
        <w:t xml:space="preserve"> &lt; 0.05, </w:t>
      </w:r>
      <w:r w:rsidRPr="00590996">
        <w:rPr>
          <w:rFonts w:cs="Times New Roman" w:hint="eastAsia"/>
        </w:rPr>
        <w:t>**</w:t>
      </w:r>
      <w:r w:rsidRPr="00590996">
        <w:rPr>
          <w:rFonts w:cs="Times New Roman"/>
          <w:i/>
          <w:iCs/>
        </w:rPr>
        <w:t>p</w:t>
      </w:r>
      <w:r w:rsidRPr="00590996">
        <w:rPr>
          <w:rFonts w:cs="Times New Roman"/>
        </w:rPr>
        <w:t xml:space="preserve"> &lt; 0.01, </w:t>
      </w:r>
      <w:r w:rsidRPr="00590996">
        <w:rPr>
          <w:rFonts w:cs="Times New Roman" w:hint="eastAsia"/>
        </w:rPr>
        <w:t>***</w:t>
      </w:r>
      <w:r w:rsidRPr="00590996">
        <w:rPr>
          <w:rFonts w:cs="Times New Roman"/>
          <w:i/>
          <w:iCs/>
        </w:rPr>
        <w:t>p</w:t>
      </w:r>
      <w:r w:rsidRPr="00590996">
        <w:rPr>
          <w:rFonts w:cs="Times New Roman"/>
        </w:rPr>
        <w:t xml:space="preserve"> &lt; 0.001, </w:t>
      </w:r>
      <w:r w:rsidRPr="00590996">
        <w:rPr>
          <w:rFonts w:cs="Times New Roman" w:hint="eastAsia"/>
        </w:rPr>
        <w:t>****</w:t>
      </w:r>
      <w:r w:rsidRPr="00590996">
        <w:rPr>
          <w:rFonts w:cs="Times New Roman"/>
          <w:i/>
          <w:iCs/>
        </w:rPr>
        <w:t>p</w:t>
      </w:r>
      <w:r w:rsidRPr="00590996">
        <w:rPr>
          <w:rFonts w:cs="Times New Roman"/>
        </w:rPr>
        <w:t xml:space="preserve"> &lt; 0.0001).</w:t>
      </w:r>
    </w:p>
    <w:p w14:paraId="6D66C210" w14:textId="4A03BA35" w:rsidR="00A43CA4" w:rsidRPr="00590996" w:rsidRDefault="006E25F8" w:rsidP="006E25F8">
      <w:pPr>
        <w:rPr>
          <w:b/>
          <w:bCs/>
        </w:rPr>
      </w:pPr>
      <w:r w:rsidRPr="00590996">
        <w:rPr>
          <w:b/>
          <w:bCs/>
          <w:sz w:val="28"/>
          <w:szCs w:val="28"/>
        </w:rPr>
        <w:t xml:space="preserve">S2 </w:t>
      </w:r>
      <w:r w:rsidR="00A43CA4" w:rsidRPr="00590996">
        <w:rPr>
          <w:b/>
          <w:bCs/>
          <w:sz w:val="28"/>
          <w:szCs w:val="28"/>
        </w:rPr>
        <w:t>Supplementary</w:t>
      </w:r>
      <w:r w:rsidR="00A43CA4" w:rsidRPr="00590996">
        <w:rPr>
          <w:rFonts w:hint="eastAsia"/>
          <w:b/>
          <w:bCs/>
          <w:sz w:val="28"/>
          <w:szCs w:val="28"/>
        </w:rPr>
        <w:t xml:space="preserve"> Data</w:t>
      </w:r>
    </w:p>
    <w:p w14:paraId="1A2FD454" w14:textId="362D7AC4" w:rsidR="00A43CA4" w:rsidRPr="00590996" w:rsidRDefault="002921D4" w:rsidP="003748BF">
      <w:pPr>
        <w:spacing w:before="120" w:after="120" w:line="240" w:lineRule="auto"/>
      </w:pPr>
      <w:r w:rsidRPr="00590996">
        <w:rPr>
          <w:noProof/>
          <w:lang w:val="en-IN" w:eastAsia="en-IN"/>
        </w:rPr>
        <w:drawing>
          <wp:inline distT="0" distB="0" distL="0" distR="0" wp14:anchorId="09CB84E7" wp14:editId="28DD6785">
            <wp:extent cx="6188710" cy="2657475"/>
            <wp:effectExtent l="0" t="0" r="2540" b="9525"/>
            <wp:docPr id="82127462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274628" name="图片 82127462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88710" cy="2657475"/>
                    </a:xfrm>
                    <a:prstGeom prst="rect">
                      <a:avLst/>
                    </a:prstGeom>
                  </pic:spPr>
                </pic:pic>
              </a:graphicData>
            </a:graphic>
          </wp:inline>
        </w:drawing>
      </w:r>
    </w:p>
    <w:p w14:paraId="37F15F60" w14:textId="725F7451" w:rsidR="00A43CA4" w:rsidRPr="00590996" w:rsidRDefault="00A43CA4" w:rsidP="003748BF">
      <w:pPr>
        <w:spacing w:before="120" w:after="120" w:line="240" w:lineRule="auto"/>
      </w:pPr>
      <w:r w:rsidRPr="00590996">
        <w:rPr>
          <w:rFonts w:hint="eastAsia"/>
          <w:b/>
          <w:bCs/>
        </w:rPr>
        <w:t>Fig</w:t>
      </w:r>
      <w:r w:rsidR="005B2F55" w:rsidRPr="00590996">
        <w:rPr>
          <w:rFonts w:hint="eastAsia"/>
          <w:b/>
          <w:bCs/>
        </w:rPr>
        <w:t>.</w:t>
      </w:r>
      <w:r w:rsidRPr="00590996">
        <w:rPr>
          <w:rFonts w:hint="eastAsia"/>
          <w:b/>
          <w:bCs/>
        </w:rPr>
        <w:t xml:space="preserve"> S1</w:t>
      </w:r>
      <w:r w:rsidRPr="00590996">
        <w:rPr>
          <w:rFonts w:hint="eastAsia"/>
        </w:rPr>
        <w:t xml:space="preserve"> </w:t>
      </w:r>
      <w:r w:rsidRPr="00590996">
        <w:t xml:space="preserve">Immune classification of HCC samples based on immune cell signature expression in </w:t>
      </w:r>
      <w:r w:rsidR="005B2F55" w:rsidRPr="00590996">
        <w:rPr>
          <w:rFonts w:hint="eastAsia"/>
          <w:b/>
          <w:bCs/>
        </w:rPr>
        <w:t>a</w:t>
      </w:r>
      <w:r w:rsidRPr="00590996">
        <w:t xml:space="preserve"> the TCGA-LIHC cohort and </w:t>
      </w:r>
      <w:r w:rsidR="005B2F55" w:rsidRPr="00590996">
        <w:rPr>
          <w:rFonts w:hint="eastAsia"/>
          <w:b/>
          <w:bCs/>
        </w:rPr>
        <w:t>b</w:t>
      </w:r>
      <w:r w:rsidRPr="00590996">
        <w:t xml:space="preserve"> the MC cohort</w:t>
      </w:r>
      <w:r w:rsidRPr="00590996">
        <w:rPr>
          <w:rFonts w:hint="eastAsia"/>
        </w:rPr>
        <w:t>.</w:t>
      </w:r>
    </w:p>
    <w:p w14:paraId="66A7E0EF" w14:textId="77777777" w:rsidR="00BD3542" w:rsidRPr="00590996" w:rsidRDefault="00BD3542" w:rsidP="003748BF">
      <w:pPr>
        <w:spacing w:before="120" w:after="120" w:line="240" w:lineRule="auto"/>
        <w:jc w:val="center"/>
      </w:pPr>
      <w:r w:rsidRPr="00590996">
        <w:rPr>
          <w:noProof/>
          <w:lang w:val="en-IN" w:eastAsia="en-IN"/>
        </w:rPr>
        <w:drawing>
          <wp:inline distT="0" distB="0" distL="0" distR="0" wp14:anchorId="6041A1CA" wp14:editId="332E2983">
            <wp:extent cx="4404520" cy="4186237"/>
            <wp:effectExtent l="0" t="0" r="0" b="5080"/>
            <wp:docPr id="16522472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24726" name="图片 165224726"/>
                    <pic:cNvPicPr/>
                  </pic:nvPicPr>
                  <pic:blipFill>
                    <a:blip r:embed="rId13" cstate="screen">
                      <a:extLst>
                        <a:ext uri="{28A0092B-C50C-407E-A947-70E740481C1C}">
                          <a14:useLocalDpi xmlns:a14="http://schemas.microsoft.com/office/drawing/2010/main"/>
                        </a:ext>
                      </a:extLst>
                    </a:blip>
                    <a:stretch>
                      <a:fillRect/>
                    </a:stretch>
                  </pic:blipFill>
                  <pic:spPr>
                    <a:xfrm>
                      <a:off x="0" y="0"/>
                      <a:ext cx="4422979" cy="4203781"/>
                    </a:xfrm>
                    <a:prstGeom prst="rect">
                      <a:avLst/>
                    </a:prstGeom>
                  </pic:spPr>
                </pic:pic>
              </a:graphicData>
            </a:graphic>
          </wp:inline>
        </w:drawing>
      </w:r>
    </w:p>
    <w:p w14:paraId="0A2FCBBE" w14:textId="43421D2E" w:rsidR="00BD3542" w:rsidRPr="00590996" w:rsidRDefault="00BD3542" w:rsidP="003748BF">
      <w:pPr>
        <w:spacing w:before="120" w:after="120" w:line="240" w:lineRule="auto"/>
        <w:jc w:val="both"/>
        <w:rPr>
          <w:b/>
          <w:bCs/>
        </w:rPr>
      </w:pPr>
      <w:r w:rsidRPr="00590996">
        <w:rPr>
          <w:rFonts w:hint="eastAsia"/>
          <w:b/>
          <w:bCs/>
        </w:rPr>
        <w:t xml:space="preserve">Fig. S2 </w:t>
      </w:r>
      <w:r w:rsidRPr="00590996">
        <w:t xml:space="preserve">Mechanistic insights and characterization of MCI-NP self-assembly. </w:t>
      </w:r>
      <w:r w:rsidRPr="00590996">
        <w:rPr>
          <w:b/>
          <w:bCs/>
        </w:rPr>
        <w:t>a</w:t>
      </w:r>
      <w:r w:rsidRPr="00590996">
        <w:t xml:space="preserve"> Predicted binding configuration of Cu</w:t>
      </w:r>
      <w:r w:rsidRPr="00590996">
        <w:rPr>
          <w:vertAlign w:val="superscript"/>
        </w:rPr>
        <w:t>2+</w:t>
      </w:r>
      <w:r w:rsidRPr="00590996">
        <w:t xml:space="preserve">, ICG and MSA-2 derived from molecular docking. </w:t>
      </w:r>
      <w:r w:rsidRPr="00590996">
        <w:rPr>
          <w:b/>
          <w:bCs/>
        </w:rPr>
        <w:t>b</w:t>
      </w:r>
      <w:r w:rsidRPr="00590996">
        <w:t xml:space="preserve"> UV</w:t>
      </w:r>
      <w:r w:rsidRPr="00590996">
        <w:rPr>
          <w:rFonts w:hint="eastAsia"/>
        </w:rPr>
        <w:t>-</w:t>
      </w:r>
      <w:r w:rsidRPr="00590996">
        <w:t xml:space="preserve">vis absorption spectra of MCI-NP following treatment with SDS, EDTA, NaCl, or urea to probe intermolecular interactions. </w:t>
      </w:r>
      <w:r w:rsidRPr="00590996">
        <w:rPr>
          <w:b/>
          <w:bCs/>
        </w:rPr>
        <w:t>c</w:t>
      </w:r>
      <w:r w:rsidRPr="00590996">
        <w:t xml:space="preserve"> High-resolution O 1s XPS spectra of MCI-NP, highlighting Cu</w:t>
      </w:r>
      <w:r w:rsidRPr="00590996">
        <w:rPr>
          <w:rFonts w:hint="eastAsia"/>
        </w:rPr>
        <w:t>-</w:t>
      </w:r>
      <w:r w:rsidRPr="00590996">
        <w:t>O coordination features.</w:t>
      </w:r>
    </w:p>
    <w:p w14:paraId="41E4BCF1" w14:textId="4DE152F1" w:rsidR="00A43CA4" w:rsidRPr="00590996" w:rsidRDefault="00312EDB" w:rsidP="003748BF">
      <w:pPr>
        <w:spacing w:before="120" w:after="120" w:line="240" w:lineRule="auto"/>
        <w:jc w:val="center"/>
      </w:pPr>
      <w:r w:rsidRPr="00590996">
        <w:rPr>
          <w:noProof/>
          <w:lang w:val="en-IN" w:eastAsia="en-IN"/>
        </w:rPr>
        <w:drawing>
          <wp:inline distT="0" distB="0" distL="0" distR="0" wp14:anchorId="5837D04D" wp14:editId="0CFB57D1">
            <wp:extent cx="3192145" cy="4722353"/>
            <wp:effectExtent l="0" t="0" r="8255" b="2540"/>
            <wp:docPr id="15163999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399976" name="图片 1516399976"/>
                    <pic:cNvPicPr/>
                  </pic:nvPicPr>
                  <pic:blipFill>
                    <a:blip r:embed="rId14" cstate="screen">
                      <a:extLst>
                        <a:ext uri="{28A0092B-C50C-407E-A947-70E740481C1C}">
                          <a14:useLocalDpi xmlns:a14="http://schemas.microsoft.com/office/drawing/2010/main"/>
                        </a:ext>
                      </a:extLst>
                    </a:blip>
                    <a:stretch>
                      <a:fillRect/>
                    </a:stretch>
                  </pic:blipFill>
                  <pic:spPr>
                    <a:xfrm>
                      <a:off x="0" y="0"/>
                      <a:ext cx="3211780" cy="4751400"/>
                    </a:xfrm>
                    <a:prstGeom prst="rect">
                      <a:avLst/>
                    </a:prstGeom>
                  </pic:spPr>
                </pic:pic>
              </a:graphicData>
            </a:graphic>
          </wp:inline>
        </w:drawing>
      </w:r>
    </w:p>
    <w:p w14:paraId="7F3145EF" w14:textId="051587D3" w:rsidR="00A43CA4" w:rsidRPr="00590996" w:rsidRDefault="00A43CA4" w:rsidP="003748BF">
      <w:pPr>
        <w:spacing w:before="120" w:after="120" w:line="240" w:lineRule="auto"/>
        <w:jc w:val="both"/>
      </w:pPr>
      <w:r w:rsidRPr="00590996">
        <w:rPr>
          <w:b/>
          <w:bCs/>
        </w:rPr>
        <w:t>Fig</w:t>
      </w:r>
      <w:r w:rsidR="005B2F55" w:rsidRPr="00590996">
        <w:rPr>
          <w:rFonts w:hint="eastAsia"/>
          <w:b/>
          <w:bCs/>
        </w:rPr>
        <w:t>.</w:t>
      </w:r>
      <w:r w:rsidRPr="00590996">
        <w:rPr>
          <w:b/>
          <w:bCs/>
        </w:rPr>
        <w:t xml:space="preserve"> S</w:t>
      </w:r>
      <w:r w:rsidR="00BD3542" w:rsidRPr="00590996">
        <w:rPr>
          <w:rFonts w:hint="eastAsia"/>
          <w:b/>
          <w:bCs/>
        </w:rPr>
        <w:t>3</w:t>
      </w:r>
      <w:r w:rsidRPr="00590996">
        <w:t xml:space="preserve"> Supplementary characterization of drug loading, pH-responsive release, and photothermal performance of MCI-NP.</w:t>
      </w:r>
      <w:r w:rsidRPr="00590996">
        <w:rPr>
          <w:rFonts w:hint="eastAsia"/>
        </w:rPr>
        <w:t xml:space="preserve"> </w:t>
      </w:r>
      <w:r w:rsidR="005B2F55" w:rsidRPr="00590996">
        <w:rPr>
          <w:rFonts w:hint="eastAsia"/>
          <w:b/>
          <w:bCs/>
        </w:rPr>
        <w:t>a</w:t>
      </w:r>
      <w:r w:rsidRPr="00590996">
        <w:t xml:space="preserve"> HPLC calibration curve of MSA-2</w:t>
      </w:r>
      <w:r w:rsidRPr="00590996">
        <w:rPr>
          <w:rFonts w:hint="eastAsia"/>
        </w:rPr>
        <w:t xml:space="preserve"> and </w:t>
      </w:r>
      <w:r w:rsidRPr="00590996">
        <w:t>ICG.</w:t>
      </w:r>
      <w:r w:rsidRPr="00590996">
        <w:rPr>
          <w:rFonts w:hint="eastAsia"/>
        </w:rPr>
        <w:t xml:space="preserve"> </w:t>
      </w:r>
      <w:r w:rsidR="005B2F55" w:rsidRPr="00590996">
        <w:rPr>
          <w:rFonts w:hint="eastAsia"/>
          <w:b/>
          <w:bCs/>
        </w:rPr>
        <w:t>b</w:t>
      </w:r>
      <w:r w:rsidRPr="00590996">
        <w:t xml:space="preserve"> In vitro cumulative release profile of MSA-2</w:t>
      </w:r>
      <w:r w:rsidRPr="00590996">
        <w:rPr>
          <w:rFonts w:hint="eastAsia"/>
        </w:rPr>
        <w:t xml:space="preserve"> and </w:t>
      </w:r>
      <w:r w:rsidRPr="00590996">
        <w:t>ICG from MCI-NP at pH 5.5 and pH 7.4.</w:t>
      </w:r>
      <w:r w:rsidRPr="00590996">
        <w:rPr>
          <w:rFonts w:hint="eastAsia"/>
          <w:b/>
          <w:bCs/>
        </w:rPr>
        <w:t xml:space="preserve"> </w:t>
      </w:r>
      <w:r w:rsidR="005B2F55" w:rsidRPr="00590996">
        <w:rPr>
          <w:rFonts w:hint="eastAsia"/>
          <w:b/>
          <w:bCs/>
        </w:rPr>
        <w:t>c</w:t>
      </w:r>
      <w:r w:rsidRPr="00590996">
        <w:t xml:space="preserve"> Temperature elevation of MCI-NP compared with PBS under 808 nm laser irradiation (0.8 W·cm</w:t>
      </w:r>
      <w:r w:rsidRPr="00590996">
        <w:rPr>
          <w:rFonts w:hint="eastAsia"/>
          <w:vertAlign w:val="superscript"/>
        </w:rPr>
        <w:t>-2</w:t>
      </w:r>
      <w:r w:rsidRPr="00590996">
        <w:t>).</w:t>
      </w:r>
      <w:r w:rsidRPr="00590996">
        <w:rPr>
          <w:rFonts w:hint="eastAsia"/>
        </w:rPr>
        <w:t xml:space="preserve"> </w:t>
      </w:r>
      <w:r w:rsidR="005B2F55" w:rsidRPr="00590996">
        <w:rPr>
          <w:rFonts w:hint="eastAsia"/>
          <w:b/>
          <w:bCs/>
        </w:rPr>
        <w:t>d</w:t>
      </w:r>
      <w:r w:rsidRPr="00590996">
        <w:t xml:space="preserve"> Temperature</w:t>
      </w:r>
      <w:r w:rsidRPr="00590996">
        <w:rPr>
          <w:rFonts w:hint="eastAsia"/>
        </w:rPr>
        <w:t>-</w:t>
      </w:r>
      <w:r w:rsidRPr="00590996">
        <w:t>time profile of MCI-NP</w:t>
      </w:r>
      <w:r w:rsidRPr="00590996">
        <w:rPr>
          <w:rFonts w:hint="eastAsia"/>
        </w:rPr>
        <w:t xml:space="preserve"> </w:t>
      </w:r>
      <w:r w:rsidRPr="00590996">
        <w:t>under 808 nm laser irradiation at a lower power density (0.33 W·cm</w:t>
      </w:r>
      <w:r w:rsidRPr="00590996">
        <w:rPr>
          <w:rFonts w:hint="eastAsia"/>
          <w:vertAlign w:val="superscript"/>
        </w:rPr>
        <w:t>-2</w:t>
      </w:r>
      <w:r w:rsidRPr="00590996">
        <w:t>).</w:t>
      </w:r>
    </w:p>
    <w:p w14:paraId="3D6FFAD4" w14:textId="43200D43" w:rsidR="009D4472" w:rsidRPr="00590996" w:rsidRDefault="00DF3110" w:rsidP="003748BF">
      <w:pPr>
        <w:spacing w:before="120" w:after="120" w:line="240" w:lineRule="auto"/>
        <w:jc w:val="center"/>
      </w:pPr>
      <w:r w:rsidRPr="00590996">
        <w:rPr>
          <w:noProof/>
          <w:lang w:val="en-IN" w:eastAsia="en-IN"/>
        </w:rPr>
        <w:drawing>
          <wp:inline distT="0" distB="0" distL="0" distR="0" wp14:anchorId="3FA98A4C" wp14:editId="21649C82">
            <wp:extent cx="4003676" cy="1852612"/>
            <wp:effectExtent l="0" t="0" r="0" b="0"/>
            <wp:docPr id="10651100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11007" name="图片 106511007"/>
                    <pic:cNvPicPr/>
                  </pic:nvPicPr>
                  <pic:blipFill>
                    <a:blip r:embed="rId15" cstate="screen">
                      <a:extLst>
                        <a:ext uri="{28A0092B-C50C-407E-A947-70E740481C1C}">
                          <a14:useLocalDpi xmlns:a14="http://schemas.microsoft.com/office/drawing/2010/main"/>
                        </a:ext>
                      </a:extLst>
                    </a:blip>
                    <a:stretch>
                      <a:fillRect/>
                    </a:stretch>
                  </pic:blipFill>
                  <pic:spPr>
                    <a:xfrm>
                      <a:off x="0" y="0"/>
                      <a:ext cx="4014051" cy="1857413"/>
                    </a:xfrm>
                    <a:prstGeom prst="rect">
                      <a:avLst/>
                    </a:prstGeom>
                  </pic:spPr>
                </pic:pic>
              </a:graphicData>
            </a:graphic>
          </wp:inline>
        </w:drawing>
      </w:r>
    </w:p>
    <w:p w14:paraId="362C9E86" w14:textId="54E84305" w:rsidR="005B31F3" w:rsidRPr="00590996" w:rsidRDefault="005B31F3" w:rsidP="003748BF">
      <w:pPr>
        <w:spacing w:before="120" w:after="120" w:line="240" w:lineRule="auto"/>
        <w:jc w:val="both"/>
      </w:pPr>
      <w:r w:rsidRPr="00590996">
        <w:rPr>
          <w:b/>
          <w:bCs/>
        </w:rPr>
        <w:t xml:space="preserve">Fig. S4 </w:t>
      </w:r>
      <w:r w:rsidRPr="00590996">
        <w:t>Comparison of the photostability and photothermal stability between MCI-NP and a physical mixture of Cu</w:t>
      </w:r>
      <w:r w:rsidRPr="00590996">
        <w:rPr>
          <w:rFonts w:hint="eastAsia"/>
          <w:vertAlign w:val="superscript"/>
        </w:rPr>
        <w:t>2+</w:t>
      </w:r>
      <w:r w:rsidRPr="00590996">
        <w:t xml:space="preserve">, MSA-2, and ICG. </w:t>
      </w:r>
      <w:r w:rsidRPr="00590996">
        <w:rPr>
          <w:b/>
          <w:bCs/>
        </w:rPr>
        <w:t>a</w:t>
      </w:r>
      <w:r w:rsidRPr="00590996">
        <w:t xml:space="preserve"> Changes in UV</w:t>
      </w:r>
      <w:r w:rsidRPr="00590996">
        <w:rPr>
          <w:rFonts w:hint="eastAsia"/>
        </w:rPr>
        <w:t>-</w:t>
      </w:r>
      <w:r w:rsidRPr="00590996">
        <w:t>vis absorption spectra under continuous 808 nm laser irradiation.</w:t>
      </w:r>
      <w:r w:rsidRPr="00590996">
        <w:rPr>
          <w:rFonts w:hint="eastAsia"/>
        </w:rPr>
        <w:t xml:space="preserve"> </w:t>
      </w:r>
      <w:r w:rsidRPr="00590996">
        <w:rPr>
          <w:b/>
          <w:bCs/>
        </w:rPr>
        <w:t>b</w:t>
      </w:r>
      <w:r w:rsidRPr="00590996">
        <w:t xml:space="preserve"> Photothermal stability during repeated heating–cooling cycles under 808 nm laser irradiation.</w:t>
      </w:r>
    </w:p>
    <w:p w14:paraId="2054E09B" w14:textId="44AABC46" w:rsidR="00A43CA4" w:rsidRPr="00590996" w:rsidRDefault="00312EDB" w:rsidP="003748BF">
      <w:pPr>
        <w:spacing w:before="120" w:after="120" w:line="240" w:lineRule="auto"/>
        <w:jc w:val="center"/>
      </w:pPr>
      <w:r w:rsidRPr="00590996">
        <w:rPr>
          <w:noProof/>
          <w:lang w:val="en-IN" w:eastAsia="en-IN"/>
        </w:rPr>
        <w:drawing>
          <wp:inline distT="0" distB="0" distL="0" distR="0" wp14:anchorId="6505A5BD" wp14:editId="2BD4E7D1">
            <wp:extent cx="5591210" cy="4718050"/>
            <wp:effectExtent l="0" t="0" r="9525" b="6350"/>
            <wp:docPr id="73188236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882364" name="图片 731882364"/>
                    <pic:cNvPicPr/>
                  </pic:nvPicPr>
                  <pic:blipFill>
                    <a:blip r:embed="rId16" cstate="screen">
                      <a:extLst>
                        <a:ext uri="{28A0092B-C50C-407E-A947-70E740481C1C}">
                          <a14:useLocalDpi xmlns:a14="http://schemas.microsoft.com/office/drawing/2010/main"/>
                        </a:ext>
                      </a:extLst>
                    </a:blip>
                    <a:stretch>
                      <a:fillRect/>
                    </a:stretch>
                  </pic:blipFill>
                  <pic:spPr>
                    <a:xfrm>
                      <a:off x="0" y="0"/>
                      <a:ext cx="5599545" cy="4725083"/>
                    </a:xfrm>
                    <a:prstGeom prst="rect">
                      <a:avLst/>
                    </a:prstGeom>
                  </pic:spPr>
                </pic:pic>
              </a:graphicData>
            </a:graphic>
          </wp:inline>
        </w:drawing>
      </w:r>
    </w:p>
    <w:p w14:paraId="09204466" w14:textId="5B982BBA" w:rsidR="0064190F" w:rsidRPr="00590996" w:rsidRDefault="00A43CA4" w:rsidP="003748BF">
      <w:pPr>
        <w:spacing w:before="120" w:after="120" w:line="240" w:lineRule="auto"/>
        <w:jc w:val="both"/>
      </w:pPr>
      <w:r w:rsidRPr="00590996">
        <w:rPr>
          <w:rFonts w:hint="eastAsia"/>
          <w:b/>
          <w:bCs/>
        </w:rPr>
        <w:t>Fig</w:t>
      </w:r>
      <w:r w:rsidR="005B2F55" w:rsidRPr="00590996">
        <w:rPr>
          <w:rFonts w:hint="eastAsia"/>
          <w:b/>
          <w:bCs/>
        </w:rPr>
        <w:t>.</w:t>
      </w:r>
      <w:r w:rsidRPr="00590996">
        <w:rPr>
          <w:rFonts w:hint="eastAsia"/>
          <w:b/>
          <w:bCs/>
        </w:rPr>
        <w:t xml:space="preserve"> S</w:t>
      </w:r>
      <w:r w:rsidR="00BE4304" w:rsidRPr="00590996">
        <w:rPr>
          <w:rFonts w:hint="eastAsia"/>
          <w:b/>
          <w:bCs/>
        </w:rPr>
        <w:t>5</w:t>
      </w:r>
      <w:r w:rsidRPr="00590996">
        <w:rPr>
          <w:rFonts w:hint="eastAsia"/>
        </w:rPr>
        <w:t xml:space="preserve"> </w:t>
      </w:r>
      <w:r w:rsidRPr="00590996">
        <w:t>Cellular uptake, cytocompatibility, and photothermal effects of MCI-NP in vitro.</w:t>
      </w:r>
      <w:r w:rsidRPr="00590996">
        <w:rPr>
          <w:rFonts w:hint="eastAsia"/>
        </w:rPr>
        <w:t xml:space="preserve"> </w:t>
      </w:r>
      <w:r w:rsidR="005B2F55" w:rsidRPr="00590996">
        <w:rPr>
          <w:rFonts w:hint="eastAsia"/>
          <w:b/>
          <w:bCs/>
        </w:rPr>
        <w:t>a</w:t>
      </w:r>
      <w:r w:rsidRPr="00590996">
        <w:t xml:space="preserve"> CLSM images of Hepa1-6 cells incubated with MCI-NP for different durations (0, 1, 2, 4, and 6 h). Intracellular ICG fluorescence intensity increased progressively with incubation time and reached a plateau at 4 h, indicating time-dependent cellular uptake and saturation of MCI-NP internalization.</w:t>
      </w:r>
      <w:r w:rsidR="00A170DF" w:rsidRPr="00590996">
        <w:rPr>
          <w:rFonts w:hint="eastAsia"/>
        </w:rPr>
        <w:t xml:space="preserve"> </w:t>
      </w:r>
      <w:r w:rsidR="00A170DF" w:rsidRPr="00590996">
        <w:rPr>
          <w:b/>
          <w:bCs/>
        </w:rPr>
        <w:t>b</w:t>
      </w:r>
      <w:r w:rsidR="00A170DF" w:rsidRPr="00590996">
        <w:t xml:space="preserve"> Flow cytometric analysis of MCI-NP uptake by DC2.4 cells. ICG fluorescence intensity was used to quantify nanoparticle internalization, confirming efficient uptake by antigen-presenting cells.</w:t>
      </w:r>
      <w:r w:rsidR="00A170DF" w:rsidRPr="00590996">
        <w:rPr>
          <w:rFonts w:hint="eastAsia"/>
        </w:rPr>
        <w:t xml:space="preserve"> </w:t>
      </w:r>
      <w:r w:rsidR="00A170DF" w:rsidRPr="00590996">
        <w:rPr>
          <w:rFonts w:hint="eastAsia"/>
          <w:b/>
          <w:bCs/>
        </w:rPr>
        <w:t>c</w:t>
      </w:r>
      <w:r w:rsidRPr="00590996">
        <w:t xml:space="preserve"> Cell viability of Hepa1-6 tumor cells and normal hepatocyte </w:t>
      </w:r>
      <w:r w:rsidR="008B364C" w:rsidRPr="00590996">
        <w:rPr>
          <w:rFonts w:hint="eastAsia"/>
        </w:rPr>
        <w:t xml:space="preserve">BNL </w:t>
      </w:r>
      <w:r w:rsidRPr="00590996">
        <w:t>CL</w:t>
      </w:r>
      <w:r w:rsidR="008B364C" w:rsidRPr="00590996">
        <w:rPr>
          <w:rFonts w:hint="eastAsia"/>
        </w:rPr>
        <w:t>.</w:t>
      </w:r>
      <w:r w:rsidRPr="00590996">
        <w:t>2 cells after incubation with MCI-NP at different concentrations (</w:t>
      </w:r>
      <w:r w:rsidRPr="00590996">
        <w:rPr>
          <w:rFonts w:hint="eastAsia"/>
        </w:rPr>
        <w:t>0-</w:t>
      </w:r>
      <w:r w:rsidRPr="00590996">
        <w:t>400 μg·mL</w:t>
      </w:r>
      <w:r w:rsidRPr="00590996">
        <w:rPr>
          <w:rFonts w:hint="eastAsia"/>
          <w:vertAlign w:val="superscript"/>
        </w:rPr>
        <w:t>-1</w:t>
      </w:r>
      <w:r w:rsidRPr="00590996">
        <w:t>), determined by CCK-8 assay. Cell viability remained close to 100% across the tested concentration range, indicating good cytocompatibility of MCI-NP.</w:t>
      </w:r>
      <w:r w:rsidRPr="00590996">
        <w:rPr>
          <w:rFonts w:hint="eastAsia"/>
        </w:rPr>
        <w:t xml:space="preserve"> </w:t>
      </w:r>
      <w:r w:rsidR="00652E0D" w:rsidRPr="00590996">
        <w:rPr>
          <w:b/>
          <w:bCs/>
        </w:rPr>
        <w:t>d</w:t>
      </w:r>
      <w:r w:rsidR="00652E0D" w:rsidRPr="00590996">
        <w:t xml:space="preserve"> Cell viability of Hepa1-6 cells after incubation with free Cu</w:t>
      </w:r>
      <w:r w:rsidR="00652E0D" w:rsidRPr="00590996">
        <w:rPr>
          <w:rFonts w:hint="eastAsia"/>
          <w:vertAlign w:val="superscript"/>
        </w:rPr>
        <w:t>2+</w:t>
      </w:r>
      <w:r w:rsidR="00652E0D" w:rsidRPr="00590996">
        <w:t xml:space="preserve"> or MCI-NP at equivalent Cu</w:t>
      </w:r>
      <w:r w:rsidR="00652E0D" w:rsidRPr="00590996">
        <w:rPr>
          <w:rFonts w:hint="eastAsia"/>
          <w:vertAlign w:val="superscript"/>
        </w:rPr>
        <w:t>2+</w:t>
      </w:r>
      <w:r w:rsidR="00652E0D" w:rsidRPr="00590996">
        <w:t xml:space="preserve"> concentrations, determined by CCK-8 assay. MCI-NP exhibited significantly lower cytotoxicity than free Cu</w:t>
      </w:r>
      <w:r w:rsidR="00652E0D" w:rsidRPr="00590996">
        <w:rPr>
          <w:rFonts w:hint="eastAsia"/>
          <w:vertAlign w:val="superscript"/>
        </w:rPr>
        <w:t>2+</w:t>
      </w:r>
      <w:r w:rsidR="00652E0D" w:rsidRPr="00590996">
        <w:t>, indicating that nanoparticle assembly mitigates Cu</w:t>
      </w:r>
      <w:r w:rsidR="00652E0D" w:rsidRPr="00590996">
        <w:rPr>
          <w:rFonts w:hint="eastAsia"/>
          <w:vertAlign w:val="superscript"/>
        </w:rPr>
        <w:t>2+</w:t>
      </w:r>
      <w:r w:rsidR="00652E0D" w:rsidRPr="00590996">
        <w:t>-associated toxicity.</w:t>
      </w:r>
      <w:r w:rsidR="00652E0D" w:rsidRPr="00590996">
        <w:rPr>
          <w:rFonts w:hint="eastAsia"/>
        </w:rPr>
        <w:t xml:space="preserve"> </w:t>
      </w:r>
      <w:r w:rsidR="00652E0D" w:rsidRPr="00590996">
        <w:rPr>
          <w:rFonts w:hint="eastAsia"/>
          <w:b/>
          <w:bCs/>
        </w:rPr>
        <w:t>e</w:t>
      </w:r>
      <w:r w:rsidRPr="00590996">
        <w:t xml:space="preserve"> Representative live/dead fluorescence staining images of Hepa1-6 cells after different treatments, including PBS, MCI-NP alone, laser irradiation alone, and MCI-NP combined with laser irradiation (808 nm, 0.8 W·cm</w:t>
      </w:r>
      <w:r w:rsidRPr="00590996">
        <w:rPr>
          <w:rFonts w:hint="eastAsia"/>
          <w:vertAlign w:val="superscript"/>
        </w:rPr>
        <w:t>-2</w:t>
      </w:r>
      <w:r w:rsidRPr="00590996">
        <w:t>, 10 min). Live cells were stained with calcein-AM (green), and dead cells were stained with propidium iodide (PI, red).</w:t>
      </w:r>
      <w:r w:rsidRPr="00590996">
        <w:rPr>
          <w:rFonts w:hint="eastAsia"/>
        </w:rPr>
        <w:t xml:space="preserve"> </w:t>
      </w:r>
      <w:r w:rsidRPr="00590996">
        <w:t>Scale bar: 100 μm</w:t>
      </w:r>
      <w:r w:rsidRPr="00590996">
        <w:rPr>
          <w:rFonts w:hint="eastAsia"/>
        </w:rPr>
        <w:t xml:space="preserve">. </w:t>
      </w:r>
      <w:r w:rsidR="00652E0D" w:rsidRPr="00590996">
        <w:rPr>
          <w:rFonts w:hint="eastAsia"/>
          <w:b/>
          <w:bCs/>
        </w:rPr>
        <w:t>f</w:t>
      </w:r>
      <w:r w:rsidRPr="00590996">
        <w:rPr>
          <w:rFonts w:hint="eastAsia"/>
        </w:rPr>
        <w:t xml:space="preserve"> </w:t>
      </w:r>
      <w:r w:rsidRPr="00590996">
        <w:t xml:space="preserve">Intracellular and extracellular ATP levels in Hepa1-6 cells after different treatments. Intracellular ATP content decreased markedly after MCI-NP-mediated </w:t>
      </w:r>
      <w:r w:rsidRPr="00590996">
        <w:rPr>
          <w:rFonts w:hint="eastAsia"/>
        </w:rPr>
        <w:t>PTT</w:t>
      </w:r>
      <w:r w:rsidRPr="00590996">
        <w:t>, accompanied by a pronounced increase in extracellular ATP release. Data are presented as mean ± SD (n = 3). Statistical significance was determined by one-way ANOVA (</w:t>
      </w:r>
      <w:r w:rsidRPr="00590996">
        <w:rPr>
          <w:rFonts w:hint="eastAsia"/>
        </w:rPr>
        <w:t>***</w:t>
      </w:r>
      <w:r w:rsidRPr="00590996">
        <w:rPr>
          <w:i/>
          <w:iCs/>
        </w:rPr>
        <w:t>p</w:t>
      </w:r>
      <w:r w:rsidRPr="00590996">
        <w:t xml:space="preserve"> &lt; 0.001).</w:t>
      </w:r>
    </w:p>
    <w:p w14:paraId="29862A09" w14:textId="77777777" w:rsidR="00A43CA4" w:rsidRPr="00590996" w:rsidRDefault="00A43CA4" w:rsidP="003748BF">
      <w:pPr>
        <w:spacing w:before="120" w:after="120" w:line="240" w:lineRule="auto"/>
        <w:jc w:val="center"/>
      </w:pPr>
      <w:r w:rsidRPr="00590996">
        <w:rPr>
          <w:rFonts w:hint="eastAsia"/>
          <w:noProof/>
          <w:lang w:val="en-IN" w:eastAsia="en-IN"/>
        </w:rPr>
        <w:drawing>
          <wp:inline distT="0" distB="0" distL="0" distR="0" wp14:anchorId="77D901E7" wp14:editId="21CE066F">
            <wp:extent cx="4294071" cy="1318270"/>
            <wp:effectExtent l="0" t="0" r="0" b="0"/>
            <wp:docPr id="18347507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75072" name="图片 183475072"/>
                    <pic:cNvPicPr/>
                  </pic:nvPicPr>
                  <pic:blipFill>
                    <a:blip r:embed="rId17" cstate="screen">
                      <a:extLst>
                        <a:ext uri="{28A0092B-C50C-407E-A947-70E740481C1C}">
                          <a14:useLocalDpi xmlns:a14="http://schemas.microsoft.com/office/drawing/2010/main"/>
                        </a:ext>
                      </a:extLst>
                    </a:blip>
                    <a:stretch>
                      <a:fillRect/>
                    </a:stretch>
                  </pic:blipFill>
                  <pic:spPr>
                    <a:xfrm>
                      <a:off x="0" y="0"/>
                      <a:ext cx="4331398" cy="1329729"/>
                    </a:xfrm>
                    <a:prstGeom prst="rect">
                      <a:avLst/>
                    </a:prstGeom>
                  </pic:spPr>
                </pic:pic>
              </a:graphicData>
            </a:graphic>
          </wp:inline>
        </w:drawing>
      </w:r>
    </w:p>
    <w:p w14:paraId="1B076B38" w14:textId="33B30A9C" w:rsidR="00A43CA4" w:rsidRPr="00590996" w:rsidRDefault="00A43CA4" w:rsidP="003748BF">
      <w:pPr>
        <w:spacing w:before="120" w:after="120" w:line="240" w:lineRule="auto"/>
        <w:jc w:val="both"/>
      </w:pPr>
      <w:r w:rsidRPr="00590996">
        <w:rPr>
          <w:rFonts w:hint="eastAsia"/>
          <w:b/>
          <w:bCs/>
        </w:rPr>
        <w:t>Fig</w:t>
      </w:r>
      <w:r w:rsidR="005B2F55" w:rsidRPr="00590996">
        <w:rPr>
          <w:rFonts w:hint="eastAsia"/>
          <w:b/>
          <w:bCs/>
        </w:rPr>
        <w:t>.</w:t>
      </w:r>
      <w:r w:rsidRPr="00590996">
        <w:rPr>
          <w:rFonts w:hint="eastAsia"/>
          <w:b/>
          <w:bCs/>
        </w:rPr>
        <w:t xml:space="preserve"> S</w:t>
      </w:r>
      <w:r w:rsidR="00C22C0C" w:rsidRPr="00590996">
        <w:rPr>
          <w:rFonts w:hint="eastAsia"/>
          <w:b/>
          <w:bCs/>
        </w:rPr>
        <w:t>6</w:t>
      </w:r>
      <w:r w:rsidRPr="00590996">
        <w:rPr>
          <w:rFonts w:hint="eastAsia"/>
        </w:rPr>
        <w:t xml:space="preserve"> </w:t>
      </w:r>
      <w:r w:rsidRPr="00590996">
        <w:t xml:space="preserve">Representative gating strategy for flow cytometric analysis of </w:t>
      </w:r>
      <w:r w:rsidRPr="00590996">
        <w:rPr>
          <w:rFonts w:hint="eastAsia"/>
        </w:rPr>
        <w:t>DC</w:t>
      </w:r>
      <w:r w:rsidRPr="00590996">
        <w:t xml:space="preserve"> maturation (related to Fig</w:t>
      </w:r>
      <w:r w:rsidR="00D47CB5" w:rsidRPr="00590996">
        <w:rPr>
          <w:rFonts w:hint="eastAsia"/>
        </w:rPr>
        <w:t>.</w:t>
      </w:r>
      <w:r w:rsidRPr="00590996">
        <w:t xml:space="preserve"> 3</w:t>
      </w:r>
      <w:r w:rsidR="005B2F55" w:rsidRPr="00590996">
        <w:rPr>
          <w:rFonts w:hint="eastAsia"/>
        </w:rPr>
        <w:t>e</w:t>
      </w:r>
      <w:r w:rsidRPr="00590996">
        <w:t>).</w:t>
      </w:r>
    </w:p>
    <w:p w14:paraId="07ACB560" w14:textId="5AC74BA0" w:rsidR="005E5781" w:rsidRPr="00590996" w:rsidRDefault="005E5781" w:rsidP="003748BF">
      <w:pPr>
        <w:spacing w:before="120" w:after="120" w:line="240" w:lineRule="auto"/>
        <w:jc w:val="center"/>
      </w:pPr>
      <w:r w:rsidRPr="00590996">
        <w:rPr>
          <w:noProof/>
          <w:lang w:val="en-IN" w:eastAsia="en-IN"/>
        </w:rPr>
        <w:drawing>
          <wp:inline distT="0" distB="0" distL="0" distR="0" wp14:anchorId="2AAD1583" wp14:editId="77D98B11">
            <wp:extent cx="5012372" cy="2406926"/>
            <wp:effectExtent l="0" t="0" r="0" b="0"/>
            <wp:docPr id="1985640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64024" name="图片 198564024"/>
                    <pic:cNvPicPr/>
                  </pic:nvPicPr>
                  <pic:blipFill>
                    <a:blip r:embed="rId18" cstate="screen">
                      <a:extLst>
                        <a:ext uri="{28A0092B-C50C-407E-A947-70E740481C1C}">
                          <a14:useLocalDpi xmlns:a14="http://schemas.microsoft.com/office/drawing/2010/main"/>
                        </a:ext>
                      </a:extLst>
                    </a:blip>
                    <a:stretch>
                      <a:fillRect/>
                    </a:stretch>
                  </pic:blipFill>
                  <pic:spPr>
                    <a:xfrm>
                      <a:off x="0" y="0"/>
                      <a:ext cx="5022323" cy="2411705"/>
                    </a:xfrm>
                    <a:prstGeom prst="rect">
                      <a:avLst/>
                    </a:prstGeom>
                  </pic:spPr>
                </pic:pic>
              </a:graphicData>
            </a:graphic>
          </wp:inline>
        </w:drawing>
      </w:r>
    </w:p>
    <w:p w14:paraId="0D6D5DFD" w14:textId="7CA7850F" w:rsidR="005E5781" w:rsidRPr="00590996" w:rsidRDefault="005E5781" w:rsidP="003748BF">
      <w:pPr>
        <w:spacing w:before="120" w:after="120" w:line="240" w:lineRule="auto"/>
        <w:jc w:val="both"/>
      </w:pPr>
      <w:r w:rsidRPr="00590996">
        <w:rPr>
          <w:b/>
          <w:bCs/>
        </w:rPr>
        <w:t>Fig. S7</w:t>
      </w:r>
      <w:r w:rsidRPr="00590996">
        <w:t xml:space="preserve"> Evaluation of the contribution of individual components to DC maturation.</w:t>
      </w:r>
      <w:r w:rsidRPr="00590996">
        <w:rPr>
          <w:rFonts w:hint="eastAsia"/>
        </w:rPr>
        <w:t xml:space="preserve"> </w:t>
      </w:r>
      <w:r w:rsidRPr="00590996">
        <w:rPr>
          <w:b/>
          <w:bCs/>
        </w:rPr>
        <w:t>a</w:t>
      </w:r>
      <w:r w:rsidRPr="00590996">
        <w:t xml:space="preserve"> Gating strategy for flow cytometric analysis of CD80</w:t>
      </w:r>
      <w:r w:rsidRPr="00590996">
        <w:rPr>
          <w:rFonts w:hint="eastAsia"/>
          <w:vertAlign w:val="superscript"/>
        </w:rPr>
        <w:t>+</w:t>
      </w:r>
      <w:r w:rsidRPr="00590996">
        <w:rPr>
          <w:rFonts w:hint="eastAsia"/>
        </w:rPr>
        <w:t xml:space="preserve"> </w:t>
      </w:r>
      <w:r w:rsidRPr="00590996">
        <w:t>CD86</w:t>
      </w:r>
      <w:r w:rsidRPr="00590996">
        <w:rPr>
          <w:rFonts w:hint="eastAsia"/>
          <w:vertAlign w:val="superscript"/>
        </w:rPr>
        <w:t>+</w:t>
      </w:r>
      <w:r w:rsidRPr="00590996">
        <w:t xml:space="preserve"> mature BMDCs.</w:t>
      </w:r>
      <w:r w:rsidRPr="00590996">
        <w:rPr>
          <w:rFonts w:hint="eastAsia"/>
        </w:rPr>
        <w:t xml:space="preserve"> </w:t>
      </w:r>
      <w:r w:rsidRPr="00590996">
        <w:rPr>
          <w:b/>
          <w:bCs/>
        </w:rPr>
        <w:t>b</w:t>
      </w:r>
      <w:r w:rsidRPr="00590996">
        <w:t xml:space="preserve"> Representative flow cytometry plots of </w:t>
      </w:r>
      <w:r w:rsidRPr="00590996">
        <w:rPr>
          <w:rFonts w:hint="eastAsia"/>
        </w:rPr>
        <w:t>DC</w:t>
      </w:r>
      <w:r w:rsidRPr="00590996">
        <w:t xml:space="preserve"> maturation after treatment with different formulations.</w:t>
      </w:r>
      <w:r w:rsidRPr="00590996">
        <w:rPr>
          <w:rFonts w:hint="eastAsia"/>
        </w:rPr>
        <w:t xml:space="preserve"> </w:t>
      </w:r>
      <w:r w:rsidRPr="00590996">
        <w:rPr>
          <w:b/>
          <w:bCs/>
        </w:rPr>
        <w:t>c</w:t>
      </w:r>
      <w:r w:rsidRPr="00590996">
        <w:t xml:space="preserve"> Quantification of CD80</w:t>
      </w:r>
      <w:r w:rsidRPr="00590996">
        <w:rPr>
          <w:rFonts w:hint="eastAsia"/>
          <w:vertAlign w:val="superscript"/>
        </w:rPr>
        <w:t>+</w:t>
      </w:r>
      <w:r w:rsidRPr="00590996">
        <w:rPr>
          <w:rFonts w:hint="eastAsia"/>
        </w:rPr>
        <w:t xml:space="preserve"> </w:t>
      </w:r>
      <w:r w:rsidRPr="00590996">
        <w:t>CD86</w:t>
      </w:r>
      <w:r w:rsidRPr="00590996">
        <w:rPr>
          <w:rFonts w:hint="eastAsia"/>
          <w:vertAlign w:val="superscript"/>
        </w:rPr>
        <w:t>+</w:t>
      </w:r>
      <w:r w:rsidRPr="00590996">
        <w:t xml:space="preserve"> mature DCs</w:t>
      </w:r>
      <w:r w:rsidRPr="00590996">
        <w:rPr>
          <w:rFonts w:hint="eastAsia"/>
        </w:rPr>
        <w:t xml:space="preserve"> (CD11c</w:t>
      </w:r>
      <w:r w:rsidRPr="00590996">
        <w:rPr>
          <w:rFonts w:hint="eastAsia"/>
          <w:vertAlign w:val="superscript"/>
        </w:rPr>
        <w:t>+</w:t>
      </w:r>
      <w:r w:rsidRPr="00590996">
        <w:rPr>
          <w:rFonts w:hint="eastAsia"/>
        </w:rPr>
        <w:t xml:space="preserve"> gate)</w:t>
      </w:r>
      <w:r w:rsidRPr="00590996">
        <w:t xml:space="preserve"> in the indicated treatment groups.</w:t>
      </w:r>
      <w:r w:rsidRPr="00590996">
        <w:rPr>
          <w:rFonts w:hint="eastAsia"/>
        </w:rPr>
        <w:t xml:space="preserve"> </w:t>
      </w:r>
      <w:r w:rsidRPr="00590996">
        <w:t>Data are presented as mean ± SD.</w:t>
      </w:r>
      <w:r w:rsidRPr="00590996">
        <w:rPr>
          <w:rFonts w:hint="eastAsia"/>
        </w:rPr>
        <w:t xml:space="preserve"> </w:t>
      </w:r>
      <w:r w:rsidRPr="00590996">
        <w:t>Statistics</w:t>
      </w:r>
      <w:r w:rsidRPr="00590996">
        <w:rPr>
          <w:rFonts w:hint="eastAsia"/>
        </w:rPr>
        <w:t xml:space="preserve"> analysis</w:t>
      </w:r>
      <w:r w:rsidRPr="00590996">
        <w:t xml:space="preserve">: One-way ANOVA versus PBS control </w:t>
      </w:r>
      <w:r w:rsidRPr="00590996">
        <w:rPr>
          <w:rFonts w:hint="eastAsia"/>
        </w:rPr>
        <w:t>(G1)</w:t>
      </w:r>
      <w:r w:rsidRPr="00590996">
        <w:t>. Significance levels: *</w:t>
      </w:r>
      <w:r w:rsidRPr="00590996">
        <w:rPr>
          <w:i/>
          <w:iCs/>
        </w:rPr>
        <w:t>p</w:t>
      </w:r>
      <w:r w:rsidRPr="00590996">
        <w:t xml:space="preserve"> &lt; 0.05, ***</w:t>
      </w:r>
      <w:r w:rsidRPr="00590996">
        <w:rPr>
          <w:i/>
          <w:iCs/>
        </w:rPr>
        <w:t>p</w:t>
      </w:r>
      <w:r w:rsidRPr="00590996">
        <w:t xml:space="preserve"> &lt; 0.001, ****</w:t>
      </w:r>
      <w:r w:rsidRPr="00590996">
        <w:rPr>
          <w:i/>
          <w:iCs/>
        </w:rPr>
        <w:t>p</w:t>
      </w:r>
      <w:r w:rsidRPr="00590996">
        <w:t xml:space="preserve"> &lt; 0.0001.</w:t>
      </w:r>
    </w:p>
    <w:p w14:paraId="641A6B17" w14:textId="5ED05E97" w:rsidR="005E5781" w:rsidRPr="00590996" w:rsidRDefault="0019371F" w:rsidP="003748BF">
      <w:pPr>
        <w:spacing w:before="120" w:after="120" w:line="240" w:lineRule="auto"/>
        <w:jc w:val="center"/>
      </w:pPr>
      <w:r w:rsidRPr="00590996">
        <w:rPr>
          <w:noProof/>
          <w:lang w:val="en-IN" w:eastAsia="en-IN"/>
        </w:rPr>
        <w:drawing>
          <wp:inline distT="0" distB="0" distL="0" distR="0" wp14:anchorId="7AC9A50A" wp14:editId="6FB8F499">
            <wp:extent cx="3663696" cy="1676400"/>
            <wp:effectExtent l="0" t="0" r="0" b="0"/>
            <wp:docPr id="12418299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829924" name="图片 1241829924"/>
                    <pic:cNvPicPr/>
                  </pic:nvPicPr>
                  <pic:blipFill>
                    <a:blip r:embed="rId19" cstate="screen">
                      <a:extLst>
                        <a:ext uri="{28A0092B-C50C-407E-A947-70E740481C1C}">
                          <a14:useLocalDpi xmlns:a14="http://schemas.microsoft.com/office/drawing/2010/main"/>
                        </a:ext>
                      </a:extLst>
                    </a:blip>
                    <a:stretch>
                      <a:fillRect/>
                    </a:stretch>
                  </pic:blipFill>
                  <pic:spPr>
                    <a:xfrm>
                      <a:off x="0" y="0"/>
                      <a:ext cx="3663696" cy="1676400"/>
                    </a:xfrm>
                    <a:prstGeom prst="rect">
                      <a:avLst/>
                    </a:prstGeom>
                  </pic:spPr>
                </pic:pic>
              </a:graphicData>
            </a:graphic>
          </wp:inline>
        </w:drawing>
      </w:r>
    </w:p>
    <w:p w14:paraId="3F94990B" w14:textId="5EEE92A2" w:rsidR="005E5781" w:rsidRPr="00590996" w:rsidRDefault="0064190F" w:rsidP="003748BF">
      <w:pPr>
        <w:spacing w:before="120" w:after="120" w:line="240" w:lineRule="auto"/>
        <w:jc w:val="both"/>
      </w:pPr>
      <w:r w:rsidRPr="00590996">
        <w:rPr>
          <w:b/>
          <w:bCs/>
        </w:rPr>
        <w:t>Fig. S8</w:t>
      </w:r>
      <w:r w:rsidRPr="00590996">
        <w:t xml:space="preserve"> ELISA quantification of IFN-β and IL-6 levels in culture supernatants of Hepa1-6 tumor cells following incubation with different concentrations of MCI-NP (n = 5). Statistics: One-way ANOVA, compared with the PBS control group. Data are presented as mean ± SD. Significance levels: *</w:t>
      </w:r>
      <w:r w:rsidRPr="00590996">
        <w:rPr>
          <w:i/>
          <w:iCs/>
        </w:rPr>
        <w:t>p</w:t>
      </w:r>
      <w:r w:rsidRPr="00590996">
        <w:t xml:space="preserve"> &lt; 0.05, ***</w:t>
      </w:r>
      <w:r w:rsidRPr="00590996">
        <w:rPr>
          <w:i/>
          <w:iCs/>
        </w:rPr>
        <w:t xml:space="preserve">p </w:t>
      </w:r>
      <w:r w:rsidRPr="00590996">
        <w:t>&lt; 0.001, *</w:t>
      </w:r>
      <w:r w:rsidR="005418C0" w:rsidRPr="00590996">
        <w:rPr>
          <w:rFonts w:hint="eastAsia"/>
        </w:rPr>
        <w:t>**</w:t>
      </w:r>
      <w:r w:rsidRPr="00590996">
        <w:t>*</w:t>
      </w:r>
      <w:r w:rsidRPr="00590996">
        <w:rPr>
          <w:i/>
          <w:iCs/>
        </w:rPr>
        <w:t>p</w:t>
      </w:r>
      <w:r w:rsidRPr="00590996">
        <w:t xml:space="preserve"> &lt; 0.0001.</w:t>
      </w:r>
    </w:p>
    <w:p w14:paraId="06A915EB" w14:textId="702059C4" w:rsidR="00A43CA4" w:rsidRPr="00590996" w:rsidRDefault="00072BDE" w:rsidP="003748BF">
      <w:pPr>
        <w:spacing w:before="120" w:after="120" w:line="240" w:lineRule="auto"/>
        <w:jc w:val="center"/>
      </w:pPr>
      <w:r w:rsidRPr="00590996">
        <w:rPr>
          <w:noProof/>
          <w:lang w:val="en-IN" w:eastAsia="en-IN"/>
        </w:rPr>
        <w:drawing>
          <wp:inline distT="0" distB="0" distL="0" distR="0" wp14:anchorId="2420971C" wp14:editId="258C814D">
            <wp:extent cx="4303776" cy="1941576"/>
            <wp:effectExtent l="0" t="0" r="1905" b="1905"/>
            <wp:docPr id="38814163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141639" name="图片 388141639"/>
                    <pic:cNvPicPr/>
                  </pic:nvPicPr>
                  <pic:blipFill>
                    <a:blip r:embed="rId20" cstate="screen">
                      <a:extLst>
                        <a:ext uri="{28A0092B-C50C-407E-A947-70E740481C1C}">
                          <a14:useLocalDpi xmlns:a14="http://schemas.microsoft.com/office/drawing/2010/main"/>
                        </a:ext>
                      </a:extLst>
                    </a:blip>
                    <a:stretch>
                      <a:fillRect/>
                    </a:stretch>
                  </pic:blipFill>
                  <pic:spPr>
                    <a:xfrm>
                      <a:off x="0" y="0"/>
                      <a:ext cx="4303776" cy="1941576"/>
                    </a:xfrm>
                    <a:prstGeom prst="rect">
                      <a:avLst/>
                    </a:prstGeom>
                  </pic:spPr>
                </pic:pic>
              </a:graphicData>
            </a:graphic>
          </wp:inline>
        </w:drawing>
      </w:r>
    </w:p>
    <w:p w14:paraId="655CC1A0" w14:textId="327CFEAD" w:rsidR="00F87862" w:rsidRPr="00590996" w:rsidRDefault="00A43CA4" w:rsidP="003748BF">
      <w:pPr>
        <w:spacing w:before="120" w:after="120" w:line="240" w:lineRule="auto"/>
        <w:jc w:val="both"/>
      </w:pPr>
      <w:r w:rsidRPr="00590996">
        <w:rPr>
          <w:b/>
          <w:bCs/>
        </w:rPr>
        <w:t>Fig</w:t>
      </w:r>
      <w:r w:rsidR="005B2F55" w:rsidRPr="00590996">
        <w:rPr>
          <w:rFonts w:hint="eastAsia"/>
          <w:b/>
          <w:bCs/>
        </w:rPr>
        <w:t>.</w:t>
      </w:r>
      <w:r w:rsidRPr="00590996">
        <w:rPr>
          <w:b/>
          <w:bCs/>
        </w:rPr>
        <w:t xml:space="preserve"> S</w:t>
      </w:r>
      <w:r w:rsidR="005A13F0" w:rsidRPr="00590996">
        <w:rPr>
          <w:rFonts w:hint="eastAsia"/>
          <w:b/>
          <w:bCs/>
        </w:rPr>
        <w:t>9</w:t>
      </w:r>
      <w:r w:rsidRPr="00590996">
        <w:rPr>
          <w:rFonts w:hint="eastAsia"/>
        </w:rPr>
        <w:t xml:space="preserve"> </w:t>
      </w:r>
      <w:r w:rsidR="005B2F55" w:rsidRPr="00590996">
        <w:rPr>
          <w:rFonts w:hint="eastAsia"/>
          <w:b/>
          <w:bCs/>
        </w:rPr>
        <w:t>a</w:t>
      </w:r>
      <w:r w:rsidRPr="00590996">
        <w:t xml:space="preserve"> Body weight changes of mice in different treatment groups (PBS, Laser, MCI-NP, and MCI-NP+Laser) during the early observation period. No significant body weight loss was observed, indicating acceptable treatment tolerability.</w:t>
      </w:r>
      <w:r w:rsidRPr="00590996">
        <w:rPr>
          <w:rFonts w:hint="eastAsia"/>
        </w:rPr>
        <w:t xml:space="preserve"> </w:t>
      </w:r>
      <w:r w:rsidR="005B2F55" w:rsidRPr="00590996">
        <w:rPr>
          <w:rFonts w:hint="eastAsia"/>
          <w:b/>
          <w:bCs/>
        </w:rPr>
        <w:t>b</w:t>
      </w:r>
      <w:r w:rsidRPr="00590996">
        <w:t xml:space="preserve"> </w:t>
      </w:r>
      <w:r w:rsidRPr="00590996">
        <w:rPr>
          <w:rFonts w:hint="eastAsia"/>
        </w:rPr>
        <w:t>Intratumoral</w:t>
      </w:r>
      <w:r w:rsidRPr="00590996">
        <w:t xml:space="preserve"> IFN-β levels measured by ELISA after</w:t>
      </w:r>
      <w:r w:rsidRPr="00590996">
        <w:rPr>
          <w:rFonts w:hint="eastAsia"/>
        </w:rPr>
        <w:t xml:space="preserve"> different</w:t>
      </w:r>
      <w:r w:rsidRPr="00590996">
        <w:t xml:space="preserve"> treatment</w:t>
      </w:r>
      <w:r w:rsidRPr="00590996">
        <w:rPr>
          <w:rFonts w:hint="eastAsia"/>
        </w:rPr>
        <w:t>s</w:t>
      </w:r>
      <w:r w:rsidRPr="00590996">
        <w:t>. MCI-NP</w:t>
      </w:r>
      <w:r w:rsidRPr="00590996">
        <w:rPr>
          <w:rFonts w:hint="eastAsia"/>
        </w:rPr>
        <w:t>-</w:t>
      </w:r>
      <w:r w:rsidRPr="00590996">
        <w:t xml:space="preserve">based treatments resulted in elevated IFN-β secretion compared with control groups, </w:t>
      </w:r>
      <w:r w:rsidRPr="00590996">
        <w:rPr>
          <w:rFonts w:hint="eastAsia"/>
        </w:rPr>
        <w:t>indicating</w:t>
      </w:r>
      <w:r w:rsidRPr="00590996">
        <w:t xml:space="preserve"> activation of type I interferon signaling.</w:t>
      </w:r>
    </w:p>
    <w:p w14:paraId="2772CBCD" w14:textId="77777777" w:rsidR="00F87862" w:rsidRPr="00590996" w:rsidRDefault="00F87862" w:rsidP="003748BF">
      <w:pPr>
        <w:spacing w:before="120" w:after="120" w:line="240" w:lineRule="auto"/>
        <w:jc w:val="both"/>
      </w:pPr>
    </w:p>
    <w:p w14:paraId="07614F94" w14:textId="77777777" w:rsidR="00016F11" w:rsidRPr="00590996" w:rsidRDefault="00016F11" w:rsidP="003748BF">
      <w:pPr>
        <w:spacing w:before="120" w:after="120" w:line="240" w:lineRule="auto"/>
        <w:jc w:val="both"/>
      </w:pPr>
    </w:p>
    <w:p w14:paraId="4DEB8DBA" w14:textId="62EFAA02" w:rsidR="00B74177" w:rsidRPr="00590996" w:rsidRDefault="00072BDE" w:rsidP="003748BF">
      <w:pPr>
        <w:spacing w:before="120" w:after="120" w:line="240" w:lineRule="auto"/>
        <w:jc w:val="center"/>
      </w:pPr>
      <w:r w:rsidRPr="00590996">
        <w:rPr>
          <w:noProof/>
          <w:lang w:val="en-IN" w:eastAsia="en-IN"/>
        </w:rPr>
        <w:drawing>
          <wp:inline distT="0" distB="0" distL="0" distR="0" wp14:anchorId="1F59F502" wp14:editId="1A493A38">
            <wp:extent cx="5647944" cy="2776728"/>
            <wp:effectExtent l="0" t="0" r="0" b="5080"/>
            <wp:docPr id="103598848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988488" name="图片 1035988488"/>
                    <pic:cNvPicPr/>
                  </pic:nvPicPr>
                  <pic:blipFill>
                    <a:blip r:embed="rId21" cstate="screen">
                      <a:extLst>
                        <a:ext uri="{28A0092B-C50C-407E-A947-70E740481C1C}">
                          <a14:useLocalDpi xmlns:a14="http://schemas.microsoft.com/office/drawing/2010/main"/>
                        </a:ext>
                      </a:extLst>
                    </a:blip>
                    <a:stretch>
                      <a:fillRect/>
                    </a:stretch>
                  </pic:blipFill>
                  <pic:spPr>
                    <a:xfrm>
                      <a:off x="0" y="0"/>
                      <a:ext cx="5647944" cy="2776728"/>
                    </a:xfrm>
                    <a:prstGeom prst="rect">
                      <a:avLst/>
                    </a:prstGeom>
                  </pic:spPr>
                </pic:pic>
              </a:graphicData>
            </a:graphic>
          </wp:inline>
        </w:drawing>
      </w:r>
    </w:p>
    <w:p w14:paraId="6916172B" w14:textId="0541FCE3" w:rsidR="00955463" w:rsidRPr="00590996" w:rsidRDefault="00955463" w:rsidP="003748BF">
      <w:pPr>
        <w:spacing w:before="120" w:after="120" w:line="240" w:lineRule="auto"/>
        <w:jc w:val="both"/>
      </w:pPr>
      <w:r w:rsidRPr="00590996">
        <w:rPr>
          <w:b/>
          <w:bCs/>
        </w:rPr>
        <w:t xml:space="preserve">Fig. S10 </w:t>
      </w:r>
      <w:r w:rsidRPr="00590996">
        <w:t>Quantitative analysis of tumor cell death and ICD markers following treatment</w:t>
      </w:r>
      <w:r w:rsidR="00A10022" w:rsidRPr="00590996">
        <w:rPr>
          <w:rFonts w:hint="eastAsia"/>
        </w:rPr>
        <w:t xml:space="preserve"> (related to Fig. 4)</w:t>
      </w:r>
      <w:r w:rsidRPr="00590996">
        <w:t>.</w:t>
      </w:r>
      <w:r w:rsidRPr="00590996">
        <w:rPr>
          <w:rFonts w:hint="eastAsia"/>
        </w:rPr>
        <w:t xml:space="preserve"> </w:t>
      </w:r>
      <w:r w:rsidRPr="00590996">
        <w:t>Fluorescence images of TUNEL, HMGB</w:t>
      </w:r>
      <w:r w:rsidR="00271178" w:rsidRPr="00590996">
        <w:rPr>
          <w:rFonts w:hint="eastAsia"/>
        </w:rPr>
        <w:t>-</w:t>
      </w:r>
      <w:r w:rsidRPr="00590996">
        <w:t>1, CRT, and PD-L1 were analyzed using ImageJ software to calculate mean fluorescence intensity (MFI). Immunohistochemistry (IHC) images of Ki67 were quantified to determine the percentage of Ki</w:t>
      </w:r>
      <w:r w:rsidR="00271178" w:rsidRPr="00590996">
        <w:rPr>
          <w:rFonts w:hint="eastAsia"/>
        </w:rPr>
        <w:t>-</w:t>
      </w:r>
      <w:r w:rsidRPr="00590996">
        <w:t xml:space="preserve">67-positive cells. Quantification was performed on three representative fields per sample (n = 3). Data are presented as mean ± SD. Statistical analysis was performed using one-way ANOVA, comparing each treatment group with the PBS control. Significance levels: </w:t>
      </w:r>
      <w:r w:rsidRPr="00590996">
        <w:rPr>
          <w:i/>
          <w:iCs/>
        </w:rPr>
        <w:t>**p &lt; 0.01, ***p &lt; 0.001, ****p &lt; 0.0001.</w:t>
      </w:r>
    </w:p>
    <w:p w14:paraId="4E5E42F0" w14:textId="77777777" w:rsidR="00955463" w:rsidRPr="00590996" w:rsidRDefault="00955463" w:rsidP="003748BF">
      <w:pPr>
        <w:spacing w:before="120" w:after="120" w:line="240" w:lineRule="auto"/>
        <w:jc w:val="both"/>
      </w:pPr>
    </w:p>
    <w:p w14:paraId="1A0400C4" w14:textId="77777777" w:rsidR="00955463" w:rsidRPr="00590996" w:rsidRDefault="00955463" w:rsidP="003748BF">
      <w:pPr>
        <w:spacing w:before="120" w:after="120" w:line="240" w:lineRule="auto"/>
        <w:jc w:val="both"/>
      </w:pPr>
    </w:p>
    <w:p w14:paraId="1CA26C44" w14:textId="79711ABF" w:rsidR="00F87862" w:rsidRPr="00590996" w:rsidRDefault="001C48D1" w:rsidP="003748BF">
      <w:pPr>
        <w:spacing w:before="120" w:after="120" w:line="240" w:lineRule="auto"/>
        <w:jc w:val="center"/>
      </w:pPr>
      <w:r w:rsidRPr="00590996">
        <w:rPr>
          <w:noProof/>
          <w:lang w:val="en-IN" w:eastAsia="en-IN"/>
        </w:rPr>
        <w:drawing>
          <wp:inline distT="0" distB="0" distL="0" distR="0" wp14:anchorId="031C05AE" wp14:editId="064B489E">
            <wp:extent cx="5586984" cy="5215128"/>
            <wp:effectExtent l="0" t="0" r="0" b="5080"/>
            <wp:docPr id="93892233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922333" name="图片 938922333"/>
                    <pic:cNvPicPr/>
                  </pic:nvPicPr>
                  <pic:blipFill>
                    <a:blip r:embed="rId22" cstate="screen">
                      <a:extLst>
                        <a:ext uri="{28A0092B-C50C-407E-A947-70E740481C1C}">
                          <a14:useLocalDpi xmlns:a14="http://schemas.microsoft.com/office/drawing/2010/main"/>
                        </a:ext>
                      </a:extLst>
                    </a:blip>
                    <a:stretch>
                      <a:fillRect/>
                    </a:stretch>
                  </pic:blipFill>
                  <pic:spPr>
                    <a:xfrm>
                      <a:off x="0" y="0"/>
                      <a:ext cx="5586984" cy="5215128"/>
                    </a:xfrm>
                    <a:prstGeom prst="rect">
                      <a:avLst/>
                    </a:prstGeom>
                  </pic:spPr>
                </pic:pic>
              </a:graphicData>
            </a:graphic>
          </wp:inline>
        </w:drawing>
      </w:r>
    </w:p>
    <w:p w14:paraId="52CCC761" w14:textId="1583A331" w:rsidR="00F87862" w:rsidRPr="00590996" w:rsidRDefault="00F87862" w:rsidP="003748BF">
      <w:pPr>
        <w:spacing w:before="120" w:after="120" w:line="240" w:lineRule="auto"/>
        <w:jc w:val="both"/>
      </w:pPr>
      <w:r w:rsidRPr="00590996">
        <w:rPr>
          <w:b/>
          <w:bCs/>
        </w:rPr>
        <w:t>Fig. S1</w:t>
      </w:r>
      <w:r w:rsidR="0072509F" w:rsidRPr="00590996">
        <w:rPr>
          <w:rFonts w:hint="eastAsia"/>
          <w:b/>
          <w:bCs/>
        </w:rPr>
        <w:t>1</w:t>
      </w:r>
      <w:r w:rsidRPr="00590996">
        <w:t xml:space="preserve"> Dose-dependent upregulation of PD-L1 in Hepa1-6 cells by IFN-γ.</w:t>
      </w:r>
      <w:r w:rsidRPr="00590996">
        <w:rPr>
          <w:rFonts w:hint="eastAsia"/>
        </w:rPr>
        <w:t xml:space="preserve"> </w:t>
      </w:r>
      <w:r w:rsidRPr="00590996">
        <w:rPr>
          <w:b/>
          <w:bCs/>
        </w:rPr>
        <w:t>a</w:t>
      </w:r>
      <w:r w:rsidRPr="00590996">
        <w:t xml:space="preserve"> Flow cytometric analysis of PD-L1 expression in Hepa1-6 cells treated with 0, 10, or 20 ng</w:t>
      </w:r>
      <w:r w:rsidR="00271178" w:rsidRPr="00590996">
        <w:t>·</w:t>
      </w:r>
      <w:r w:rsidR="00271178" w:rsidRPr="00590996">
        <w:rPr>
          <w:rFonts w:hint="eastAsia"/>
        </w:rPr>
        <w:t>mL</w:t>
      </w:r>
      <w:r w:rsidR="00271178" w:rsidRPr="00590996">
        <w:rPr>
          <w:rFonts w:hint="eastAsia"/>
          <w:vertAlign w:val="superscript"/>
        </w:rPr>
        <w:t>-1</w:t>
      </w:r>
      <w:r w:rsidRPr="00590996">
        <w:t xml:space="preserve"> IFN-γ.</w:t>
      </w:r>
      <w:r w:rsidRPr="00590996">
        <w:rPr>
          <w:rFonts w:hint="eastAsia"/>
        </w:rPr>
        <w:t xml:space="preserve"> </w:t>
      </w:r>
      <w:r w:rsidRPr="00590996">
        <w:rPr>
          <w:b/>
          <w:bCs/>
        </w:rPr>
        <w:t>b</w:t>
      </w:r>
      <w:r w:rsidRPr="00590996">
        <w:t xml:space="preserve"> Representative immunofluorescence images showing PD-L1 expression under the same treatment conditions.</w:t>
      </w:r>
    </w:p>
    <w:p w14:paraId="32702405" w14:textId="77777777" w:rsidR="00F87862" w:rsidRPr="00590996" w:rsidRDefault="00F87862" w:rsidP="003748BF">
      <w:pPr>
        <w:spacing w:before="120" w:after="120" w:line="240" w:lineRule="auto"/>
        <w:jc w:val="both"/>
      </w:pPr>
    </w:p>
    <w:p w14:paraId="3455D8BD" w14:textId="77777777" w:rsidR="00F87862" w:rsidRPr="00590996" w:rsidRDefault="00F87862" w:rsidP="003748BF">
      <w:pPr>
        <w:spacing w:before="120" w:after="120" w:line="240" w:lineRule="auto"/>
        <w:jc w:val="both"/>
      </w:pPr>
    </w:p>
    <w:p w14:paraId="538B0A62" w14:textId="77777777" w:rsidR="00A43CA4" w:rsidRPr="00590996" w:rsidRDefault="00A43CA4" w:rsidP="003748BF">
      <w:pPr>
        <w:spacing w:before="120" w:after="120" w:line="240" w:lineRule="auto"/>
        <w:jc w:val="both"/>
      </w:pPr>
    </w:p>
    <w:p w14:paraId="181A21DA" w14:textId="50F6F25E" w:rsidR="00A43CA4" w:rsidRPr="00590996" w:rsidRDefault="005D663D" w:rsidP="003748BF">
      <w:pPr>
        <w:spacing w:before="120" w:after="120" w:line="240" w:lineRule="auto"/>
        <w:jc w:val="center"/>
      </w:pPr>
      <w:r w:rsidRPr="00590996">
        <w:rPr>
          <w:noProof/>
          <w:lang w:val="en-IN" w:eastAsia="en-IN"/>
        </w:rPr>
        <w:drawing>
          <wp:inline distT="0" distB="0" distL="0" distR="0" wp14:anchorId="2CBCE6E0" wp14:editId="112D99D0">
            <wp:extent cx="5077460" cy="4025900"/>
            <wp:effectExtent l="0" t="0" r="8890" b="0"/>
            <wp:docPr id="183223794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237945" name="图片 1832237945"/>
                    <pic:cNvPicPr/>
                  </pic:nvPicPr>
                  <pic:blipFill>
                    <a:blip r:embed="rId23" cstate="screen">
                      <a:extLst>
                        <a:ext uri="{28A0092B-C50C-407E-A947-70E740481C1C}">
                          <a14:useLocalDpi xmlns:a14="http://schemas.microsoft.com/office/drawing/2010/main"/>
                        </a:ext>
                      </a:extLst>
                    </a:blip>
                    <a:stretch>
                      <a:fillRect/>
                    </a:stretch>
                  </pic:blipFill>
                  <pic:spPr>
                    <a:xfrm>
                      <a:off x="0" y="0"/>
                      <a:ext cx="5096069" cy="4040655"/>
                    </a:xfrm>
                    <a:prstGeom prst="rect">
                      <a:avLst/>
                    </a:prstGeom>
                  </pic:spPr>
                </pic:pic>
              </a:graphicData>
            </a:graphic>
          </wp:inline>
        </w:drawing>
      </w:r>
    </w:p>
    <w:p w14:paraId="3D917047" w14:textId="4BDF3A3C" w:rsidR="00A43CA4" w:rsidRPr="00590996" w:rsidRDefault="00A43CA4" w:rsidP="003748BF">
      <w:pPr>
        <w:spacing w:before="120" w:after="120" w:line="240" w:lineRule="auto"/>
        <w:jc w:val="both"/>
      </w:pPr>
      <w:r w:rsidRPr="00590996">
        <w:rPr>
          <w:b/>
          <w:bCs/>
        </w:rPr>
        <w:t>Fig</w:t>
      </w:r>
      <w:r w:rsidR="005B2F55" w:rsidRPr="00590996">
        <w:rPr>
          <w:rFonts w:hint="eastAsia"/>
          <w:b/>
          <w:bCs/>
        </w:rPr>
        <w:t>.</w:t>
      </w:r>
      <w:r w:rsidRPr="00590996">
        <w:rPr>
          <w:b/>
          <w:bCs/>
        </w:rPr>
        <w:t xml:space="preserve"> S</w:t>
      </w:r>
      <w:r w:rsidR="005A13F0" w:rsidRPr="00590996">
        <w:rPr>
          <w:rFonts w:hint="eastAsia"/>
          <w:b/>
          <w:bCs/>
        </w:rPr>
        <w:t>1</w:t>
      </w:r>
      <w:r w:rsidR="0072509F" w:rsidRPr="00590996">
        <w:rPr>
          <w:rFonts w:hint="eastAsia"/>
          <w:b/>
          <w:bCs/>
        </w:rPr>
        <w:t>2</w:t>
      </w:r>
      <w:r w:rsidRPr="00590996">
        <w:t xml:space="preserve"> Antitumor efficacy of MCI-NP in a STING-knockout (STING-KO) Hepa1-6 subcutaneous tumor model (n = 4).</w:t>
      </w:r>
      <w:r w:rsidRPr="00590996">
        <w:rPr>
          <w:rFonts w:hint="eastAsia"/>
        </w:rPr>
        <w:t xml:space="preserve"> </w:t>
      </w:r>
      <w:r w:rsidR="005B2F55" w:rsidRPr="00590996">
        <w:rPr>
          <w:rFonts w:hint="eastAsia"/>
          <w:b/>
          <w:bCs/>
        </w:rPr>
        <w:t>a</w:t>
      </w:r>
      <w:r w:rsidRPr="00590996">
        <w:t xml:space="preserve"> Schematic illustration of the treatment schedule for evaluating MCI-NP in STING-KO mice bearing Hepa1-6 subcutaneous tumors.</w:t>
      </w:r>
      <w:r w:rsidRPr="00590996">
        <w:rPr>
          <w:rFonts w:hint="eastAsia"/>
        </w:rPr>
        <w:t xml:space="preserve"> </w:t>
      </w:r>
      <w:r w:rsidR="005B2F55" w:rsidRPr="00590996">
        <w:rPr>
          <w:rFonts w:hint="eastAsia"/>
          <w:b/>
          <w:bCs/>
        </w:rPr>
        <w:t>b</w:t>
      </w:r>
      <w:r w:rsidRPr="00590996">
        <w:t xml:space="preserve"> Relative tumor volume of individual mice following intratumoral administration of PBS or MCI-NP.</w:t>
      </w:r>
      <w:r w:rsidRPr="00590996">
        <w:rPr>
          <w:rFonts w:hint="eastAsia"/>
        </w:rPr>
        <w:t xml:space="preserve"> </w:t>
      </w:r>
      <w:r w:rsidR="005B2F55" w:rsidRPr="00590996">
        <w:rPr>
          <w:rFonts w:hint="eastAsia"/>
          <w:b/>
          <w:bCs/>
        </w:rPr>
        <w:t>c</w:t>
      </w:r>
      <w:r w:rsidR="005B2F55" w:rsidRPr="00590996">
        <w:rPr>
          <w:rFonts w:hint="eastAsia"/>
        </w:rPr>
        <w:t xml:space="preserve"> </w:t>
      </w:r>
      <w:r w:rsidRPr="00590996">
        <w:t>Representative photographs of excised tumors at the treatment endpoint (day 20).</w:t>
      </w:r>
      <w:r w:rsidRPr="00590996">
        <w:rPr>
          <w:rFonts w:hint="eastAsia"/>
        </w:rPr>
        <w:t xml:space="preserve"> </w:t>
      </w:r>
      <w:r w:rsidR="005B2F55" w:rsidRPr="00590996">
        <w:rPr>
          <w:rFonts w:hint="eastAsia"/>
          <w:b/>
          <w:bCs/>
        </w:rPr>
        <w:t>d</w:t>
      </w:r>
      <w:r w:rsidRPr="00590996">
        <w:t xml:space="preserve"> Tumor weights collected at the endpoint (day 20).</w:t>
      </w:r>
      <w:r w:rsidRPr="00590996">
        <w:rPr>
          <w:rFonts w:hint="eastAsia"/>
        </w:rPr>
        <w:t xml:space="preserve"> </w:t>
      </w:r>
      <w:r w:rsidR="005B2F55" w:rsidRPr="00590996">
        <w:rPr>
          <w:rFonts w:hint="eastAsia"/>
          <w:b/>
          <w:bCs/>
        </w:rPr>
        <w:t>e</w:t>
      </w:r>
      <w:r w:rsidRPr="00590996">
        <w:t xml:space="preserve"> Body weight changes of individual mice in different treatment groups throughout the observation period. Body weight remained comparable between groups during the study, indicating minimal systemic toxicity associated with MCI-NP treatment.</w:t>
      </w:r>
    </w:p>
    <w:p w14:paraId="349B42DB" w14:textId="77777777" w:rsidR="00A43CA4" w:rsidRPr="00590996" w:rsidRDefault="00A43CA4" w:rsidP="003748BF">
      <w:pPr>
        <w:spacing w:before="120" w:after="120" w:line="240" w:lineRule="auto"/>
        <w:jc w:val="center"/>
      </w:pPr>
      <w:r w:rsidRPr="00590996">
        <w:rPr>
          <w:rFonts w:hint="eastAsia"/>
          <w:noProof/>
          <w:lang w:val="en-IN" w:eastAsia="en-IN"/>
        </w:rPr>
        <w:drawing>
          <wp:inline distT="0" distB="0" distL="0" distR="0" wp14:anchorId="25DD5D5F" wp14:editId="1D726DD2">
            <wp:extent cx="2690813" cy="2254146"/>
            <wp:effectExtent l="0" t="0" r="0" b="0"/>
            <wp:docPr id="81408867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088675" name="图片 814088675"/>
                    <pic:cNvPicPr/>
                  </pic:nvPicPr>
                  <pic:blipFill>
                    <a:blip r:embed="rId24" cstate="screen">
                      <a:extLst>
                        <a:ext uri="{28A0092B-C50C-407E-A947-70E740481C1C}">
                          <a14:useLocalDpi xmlns:a14="http://schemas.microsoft.com/office/drawing/2010/main"/>
                        </a:ext>
                      </a:extLst>
                    </a:blip>
                    <a:stretch>
                      <a:fillRect/>
                    </a:stretch>
                  </pic:blipFill>
                  <pic:spPr>
                    <a:xfrm>
                      <a:off x="0" y="0"/>
                      <a:ext cx="2697030" cy="2259354"/>
                    </a:xfrm>
                    <a:prstGeom prst="rect">
                      <a:avLst/>
                    </a:prstGeom>
                  </pic:spPr>
                </pic:pic>
              </a:graphicData>
            </a:graphic>
          </wp:inline>
        </w:drawing>
      </w:r>
    </w:p>
    <w:p w14:paraId="6208DC0B" w14:textId="33C0C3FB" w:rsidR="00692F6D" w:rsidRPr="00590996" w:rsidRDefault="00A43CA4" w:rsidP="003748BF">
      <w:pPr>
        <w:spacing w:before="120" w:after="120" w:line="240" w:lineRule="auto"/>
        <w:jc w:val="both"/>
      </w:pPr>
      <w:r w:rsidRPr="00590996">
        <w:rPr>
          <w:b/>
          <w:bCs/>
        </w:rPr>
        <w:t>Fig</w:t>
      </w:r>
      <w:r w:rsidR="005B2F55" w:rsidRPr="00590996">
        <w:rPr>
          <w:rFonts w:hint="eastAsia"/>
          <w:b/>
          <w:bCs/>
        </w:rPr>
        <w:t>.</w:t>
      </w:r>
      <w:r w:rsidRPr="00590996">
        <w:rPr>
          <w:b/>
          <w:bCs/>
        </w:rPr>
        <w:t xml:space="preserve"> S</w:t>
      </w:r>
      <w:r w:rsidR="00C12754" w:rsidRPr="00590996">
        <w:rPr>
          <w:rFonts w:hint="eastAsia"/>
          <w:b/>
          <w:bCs/>
        </w:rPr>
        <w:t>1</w:t>
      </w:r>
      <w:r w:rsidR="0072509F" w:rsidRPr="00590996">
        <w:rPr>
          <w:rFonts w:hint="eastAsia"/>
          <w:b/>
          <w:bCs/>
        </w:rPr>
        <w:t>3</w:t>
      </w:r>
      <w:r w:rsidRPr="00590996">
        <w:t xml:space="preserve"> DLS analysis of MCI-NP</w:t>
      </w:r>
      <w:r w:rsidRPr="00590996">
        <w:rPr>
          <w:rFonts w:hint="eastAsia"/>
        </w:rPr>
        <w:t>@mPD</w:t>
      </w:r>
      <w:r w:rsidR="0019371F" w:rsidRPr="00590996">
        <w:rPr>
          <w:rFonts w:hint="eastAsia"/>
        </w:rPr>
        <w:t>-</w:t>
      </w:r>
      <w:r w:rsidRPr="00590996">
        <w:rPr>
          <w:rFonts w:hint="eastAsia"/>
        </w:rPr>
        <w:t>1</w:t>
      </w:r>
      <w:r w:rsidRPr="00590996">
        <w:t>, showing</w:t>
      </w:r>
      <w:r w:rsidRPr="00590996">
        <w:rPr>
          <w:rFonts w:hint="eastAsia"/>
        </w:rPr>
        <w:t xml:space="preserve"> </w:t>
      </w:r>
      <w:r w:rsidRPr="00590996">
        <w:t>hydrodynamic size distribution and</w:t>
      </w:r>
      <w:r w:rsidRPr="00590996">
        <w:rPr>
          <w:rFonts w:hint="eastAsia"/>
        </w:rPr>
        <w:t xml:space="preserve"> </w:t>
      </w:r>
      <w:r w:rsidRPr="00590996">
        <w:t>zeta potential.</w:t>
      </w:r>
    </w:p>
    <w:p w14:paraId="3F245179" w14:textId="2C588238" w:rsidR="00692F6D" w:rsidRPr="00590996" w:rsidRDefault="006D0289" w:rsidP="003748BF">
      <w:pPr>
        <w:spacing w:before="120" w:after="120" w:line="240" w:lineRule="auto"/>
        <w:jc w:val="both"/>
      </w:pPr>
      <w:r w:rsidRPr="00590996">
        <w:rPr>
          <w:noProof/>
          <w:lang w:val="en-IN" w:eastAsia="en-IN"/>
        </w:rPr>
        <w:drawing>
          <wp:inline distT="0" distB="0" distL="0" distR="0" wp14:anchorId="5A887137" wp14:editId="78FEB5CC">
            <wp:extent cx="6188710" cy="5619115"/>
            <wp:effectExtent l="0" t="0" r="2540" b="635"/>
            <wp:docPr id="190665055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650550" name="图片 1906650550"/>
                    <pic:cNvPicPr/>
                  </pic:nvPicPr>
                  <pic:blipFill>
                    <a:blip r:embed="rId25" cstate="screen">
                      <a:extLst>
                        <a:ext uri="{28A0092B-C50C-407E-A947-70E740481C1C}">
                          <a14:useLocalDpi xmlns:a14="http://schemas.microsoft.com/office/drawing/2010/main"/>
                        </a:ext>
                      </a:extLst>
                    </a:blip>
                    <a:stretch>
                      <a:fillRect/>
                    </a:stretch>
                  </pic:blipFill>
                  <pic:spPr>
                    <a:xfrm>
                      <a:off x="0" y="0"/>
                      <a:ext cx="6188710" cy="5619115"/>
                    </a:xfrm>
                    <a:prstGeom prst="rect">
                      <a:avLst/>
                    </a:prstGeom>
                  </pic:spPr>
                </pic:pic>
              </a:graphicData>
            </a:graphic>
          </wp:inline>
        </w:drawing>
      </w:r>
    </w:p>
    <w:p w14:paraId="06538C02" w14:textId="0890368B" w:rsidR="00692F6D" w:rsidRPr="00590996" w:rsidRDefault="00692F6D" w:rsidP="003748BF">
      <w:pPr>
        <w:spacing w:before="120" w:after="120" w:line="240" w:lineRule="auto"/>
        <w:jc w:val="both"/>
      </w:pPr>
      <w:r w:rsidRPr="00590996">
        <w:rPr>
          <w:b/>
          <w:bCs/>
        </w:rPr>
        <w:t>Fig. S1</w:t>
      </w:r>
      <w:r w:rsidR="0072509F" w:rsidRPr="00590996">
        <w:rPr>
          <w:rFonts w:hint="eastAsia"/>
          <w:b/>
          <w:bCs/>
        </w:rPr>
        <w:t>4</w:t>
      </w:r>
      <w:r w:rsidRPr="00590996">
        <w:rPr>
          <w:b/>
          <w:bCs/>
        </w:rPr>
        <w:t xml:space="preserve"> </w:t>
      </w:r>
      <w:r w:rsidRPr="00590996">
        <w:t>LC–MS/MS characterization and plasma pharmacokinetic profile of MSA-2 following intravenous administration of MCI-NP@mPD-1.</w:t>
      </w:r>
      <w:r w:rsidRPr="00590996">
        <w:rPr>
          <w:b/>
          <w:bCs/>
        </w:rPr>
        <w:t xml:space="preserve"> a</w:t>
      </w:r>
      <w:r w:rsidRPr="00590996">
        <w:t xml:space="preserve"> MS/MS product ion spectrum of MSA-2 detected in negative electrospray ionization mode. The precursor ion was observed at m/z 292.9 as [M−H]⁻.</w:t>
      </w:r>
      <w:r w:rsidRPr="00590996">
        <w:rPr>
          <w:b/>
          <w:bCs/>
        </w:rPr>
        <w:t xml:space="preserve"> b</w:t>
      </w:r>
      <w:r w:rsidRPr="00590996">
        <w:t xml:space="preserve"> Representative LC</w:t>
      </w:r>
      <w:r w:rsidR="006D0289" w:rsidRPr="00590996">
        <w:rPr>
          <w:rFonts w:hint="eastAsia"/>
        </w:rPr>
        <w:t>-</w:t>
      </w:r>
      <w:r w:rsidRPr="00590996">
        <w:t>MS/MS chromatogram of MSA-2 in mouse plasma, showing a retention time of 1.58 min.</w:t>
      </w:r>
      <w:r w:rsidRPr="00590996">
        <w:rPr>
          <w:rFonts w:hint="eastAsia"/>
        </w:rPr>
        <w:t xml:space="preserve"> </w:t>
      </w:r>
      <w:r w:rsidRPr="00590996">
        <w:rPr>
          <w:b/>
          <w:bCs/>
        </w:rPr>
        <w:t>c</w:t>
      </w:r>
      <w:r w:rsidRPr="00590996">
        <w:t xml:space="preserve"> Plasma concentration</w:t>
      </w:r>
      <w:r w:rsidRPr="00590996">
        <w:rPr>
          <w:rFonts w:hint="eastAsia"/>
        </w:rPr>
        <w:t>-</w:t>
      </w:r>
      <w:r w:rsidRPr="00590996">
        <w:t>time profile of MSA-2, used as a representative analyte for pharmacokinetic evaluation of MCI-NP@mPD-1, following intravenous administration at a dose of 5 mg·kg</w:t>
      </w:r>
      <w:r w:rsidRPr="00590996">
        <w:rPr>
          <w:rFonts w:hint="eastAsia"/>
          <w:vertAlign w:val="superscript"/>
        </w:rPr>
        <w:t>-1</w:t>
      </w:r>
      <w:r w:rsidRPr="00590996">
        <w:t>. Pharmacokinetic parameters were calculated by non-compartmental analysis. MSA-2 was undetectable at 12 and 24 h post-injection, and these data points were excluded from curve fitting.</w:t>
      </w:r>
    </w:p>
    <w:p w14:paraId="60839157" w14:textId="77777777" w:rsidR="00692F6D" w:rsidRPr="00590996" w:rsidRDefault="00692F6D" w:rsidP="003748BF">
      <w:pPr>
        <w:spacing w:before="120" w:after="120" w:line="240" w:lineRule="auto"/>
        <w:jc w:val="both"/>
      </w:pPr>
    </w:p>
    <w:p w14:paraId="5D020282" w14:textId="1BC5ECFA" w:rsidR="00A43CA4" w:rsidRPr="00590996" w:rsidRDefault="00F650F2" w:rsidP="003748BF">
      <w:pPr>
        <w:spacing w:before="120" w:after="120" w:line="240" w:lineRule="auto"/>
        <w:jc w:val="center"/>
      </w:pPr>
      <w:r w:rsidRPr="00590996">
        <w:rPr>
          <w:noProof/>
          <w:lang w:val="en-IN" w:eastAsia="en-IN"/>
        </w:rPr>
        <w:drawing>
          <wp:inline distT="0" distB="0" distL="0" distR="0" wp14:anchorId="1320EAB8" wp14:editId="77C46365">
            <wp:extent cx="5222490" cy="2216506"/>
            <wp:effectExtent l="0" t="0" r="0" b="0"/>
            <wp:docPr id="42679268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792688" name="图片 426792688"/>
                    <pic:cNvPicPr/>
                  </pic:nvPicPr>
                  <pic:blipFill>
                    <a:blip r:embed="rId26" cstate="screen">
                      <a:extLst>
                        <a:ext uri="{28A0092B-C50C-407E-A947-70E740481C1C}">
                          <a14:useLocalDpi xmlns:a14="http://schemas.microsoft.com/office/drawing/2010/main"/>
                        </a:ext>
                      </a:extLst>
                    </a:blip>
                    <a:stretch>
                      <a:fillRect/>
                    </a:stretch>
                  </pic:blipFill>
                  <pic:spPr>
                    <a:xfrm>
                      <a:off x="0" y="0"/>
                      <a:ext cx="5237464" cy="2222861"/>
                    </a:xfrm>
                    <a:prstGeom prst="rect">
                      <a:avLst/>
                    </a:prstGeom>
                  </pic:spPr>
                </pic:pic>
              </a:graphicData>
            </a:graphic>
          </wp:inline>
        </w:drawing>
      </w:r>
    </w:p>
    <w:p w14:paraId="31272685" w14:textId="5DCE6616" w:rsidR="00A43CA4" w:rsidRPr="00590996" w:rsidRDefault="00A43CA4" w:rsidP="003748BF">
      <w:pPr>
        <w:spacing w:before="120" w:after="120" w:line="240" w:lineRule="auto"/>
        <w:jc w:val="both"/>
      </w:pPr>
      <w:bookmarkStart w:id="2" w:name="OLE_LINK1"/>
      <w:r w:rsidRPr="00590996">
        <w:rPr>
          <w:b/>
          <w:bCs/>
        </w:rPr>
        <w:t>Fig</w:t>
      </w:r>
      <w:r w:rsidR="005B2F55" w:rsidRPr="00590996">
        <w:rPr>
          <w:rFonts w:hint="eastAsia"/>
          <w:b/>
          <w:bCs/>
        </w:rPr>
        <w:t>.</w:t>
      </w:r>
      <w:r w:rsidRPr="00590996">
        <w:rPr>
          <w:b/>
          <w:bCs/>
        </w:rPr>
        <w:t xml:space="preserve"> S</w:t>
      </w:r>
      <w:r w:rsidR="0037690A" w:rsidRPr="00590996">
        <w:rPr>
          <w:rFonts w:hint="eastAsia"/>
          <w:b/>
          <w:bCs/>
        </w:rPr>
        <w:t>1</w:t>
      </w:r>
      <w:r w:rsidR="0072509F" w:rsidRPr="00590996">
        <w:rPr>
          <w:rFonts w:hint="eastAsia"/>
          <w:b/>
          <w:bCs/>
        </w:rPr>
        <w:t>5</w:t>
      </w:r>
      <w:r w:rsidRPr="00590996">
        <w:t xml:space="preserve"> </w:t>
      </w:r>
      <w:r w:rsidR="005B2F55" w:rsidRPr="00590996">
        <w:rPr>
          <w:rFonts w:hint="eastAsia"/>
          <w:b/>
          <w:bCs/>
        </w:rPr>
        <w:t>a</w:t>
      </w:r>
      <w:r w:rsidRPr="00590996">
        <w:rPr>
          <w:rFonts w:hint="eastAsia"/>
        </w:rPr>
        <w:t xml:space="preserve"> </w:t>
      </w:r>
      <w:r w:rsidRPr="00590996">
        <w:t>CLSM images of Hepa1-6 cells pretreated with IFN-γ to induce PD-L1 expression after incubation with membrane-coated nanoparticles lacking PD-1 (MCI-NP@m) or PD-1 membrane-camouflaged nanoparticles (MCI-NP@mPD</w:t>
      </w:r>
      <w:r w:rsidR="00F650F2" w:rsidRPr="00590996">
        <w:rPr>
          <w:rFonts w:hint="eastAsia"/>
        </w:rPr>
        <w:t>-</w:t>
      </w:r>
      <w:r w:rsidRPr="00590996">
        <w:t xml:space="preserve">1). Scale bars, </w:t>
      </w:r>
      <w:r w:rsidRPr="00590996">
        <w:rPr>
          <w:rFonts w:hint="eastAsia"/>
        </w:rPr>
        <w:t>100</w:t>
      </w:r>
      <w:r w:rsidRPr="00590996">
        <w:t xml:space="preserve"> μm.</w:t>
      </w:r>
      <w:r w:rsidRPr="00590996">
        <w:rPr>
          <w:rFonts w:hint="eastAsia"/>
        </w:rPr>
        <w:t xml:space="preserve"> </w:t>
      </w:r>
      <w:r w:rsidR="005B2F55" w:rsidRPr="00590996">
        <w:rPr>
          <w:rFonts w:hint="eastAsia"/>
          <w:b/>
          <w:bCs/>
        </w:rPr>
        <w:t>b</w:t>
      </w:r>
      <w:r w:rsidRPr="00590996">
        <w:t xml:space="preserve"> Semi-quantitative analysis of </w:t>
      </w:r>
      <w:r w:rsidRPr="00590996">
        <w:rPr>
          <w:i/>
          <w:iCs/>
        </w:rPr>
        <w:t>ex vivo</w:t>
      </w:r>
      <w:r w:rsidRPr="00590996">
        <w:t xml:space="preserve"> fluorescence intensities in major organs (heart, liver, spleen, lung, and kidney) and tumors harvested at 36 h post-injection following intravenous administration of free ICG, MCI-NP, MCI-NP@m, or MCI-NP@mPD</w:t>
      </w:r>
      <w:r w:rsidR="00F650F2" w:rsidRPr="00590996">
        <w:rPr>
          <w:rFonts w:hint="eastAsia"/>
        </w:rPr>
        <w:t>-</w:t>
      </w:r>
      <w:r w:rsidRPr="00590996">
        <w:t>1</w:t>
      </w:r>
      <w:r w:rsidRPr="00590996">
        <w:rPr>
          <w:rFonts w:hint="eastAsia"/>
        </w:rPr>
        <w:t xml:space="preserve"> (n = 3)</w:t>
      </w:r>
      <w:r w:rsidRPr="00590996">
        <w:t>. Fluorescence signals were quantified using ImageJ. Statistics: One-way ANOVA for (</w:t>
      </w:r>
      <w:r w:rsidR="00AD71A5" w:rsidRPr="00590996">
        <w:rPr>
          <w:rFonts w:hint="eastAsia"/>
        </w:rPr>
        <w:t>b</w:t>
      </w:r>
      <w:r w:rsidRPr="00590996">
        <w:t>). Data are presented as mean ± SD. Significance levels: **</w:t>
      </w:r>
      <w:r w:rsidRPr="00590996">
        <w:rPr>
          <w:i/>
          <w:iCs/>
        </w:rPr>
        <w:t>p</w:t>
      </w:r>
      <w:r w:rsidRPr="00590996">
        <w:t xml:space="preserve"> &lt; 0.01, ****</w:t>
      </w:r>
      <w:r w:rsidRPr="00590996">
        <w:rPr>
          <w:i/>
          <w:iCs/>
        </w:rPr>
        <w:t>p</w:t>
      </w:r>
      <w:r w:rsidRPr="00590996">
        <w:t xml:space="preserve"> &lt; 0.0001. Related to Fig</w:t>
      </w:r>
      <w:r w:rsidR="00D47CB5" w:rsidRPr="00590996">
        <w:rPr>
          <w:rFonts w:hint="eastAsia"/>
        </w:rPr>
        <w:t>.</w:t>
      </w:r>
      <w:r w:rsidRPr="00590996">
        <w:t xml:space="preserve"> 5</w:t>
      </w:r>
      <w:r w:rsidR="00D47CB5" w:rsidRPr="00590996">
        <w:rPr>
          <w:rFonts w:hint="eastAsia"/>
        </w:rPr>
        <w:t>f</w:t>
      </w:r>
      <w:r w:rsidRPr="00590996">
        <w:t>.</w:t>
      </w:r>
    </w:p>
    <w:bookmarkEnd w:id="2"/>
    <w:p w14:paraId="2A656600" w14:textId="19E0B04C" w:rsidR="00A43CA4" w:rsidRPr="00590996" w:rsidRDefault="00F650F2" w:rsidP="003748BF">
      <w:pPr>
        <w:spacing w:before="120" w:after="120" w:line="240" w:lineRule="auto"/>
        <w:jc w:val="center"/>
      </w:pPr>
      <w:r w:rsidRPr="00590996">
        <w:rPr>
          <w:noProof/>
          <w:lang w:val="en-IN" w:eastAsia="en-IN"/>
        </w:rPr>
        <w:drawing>
          <wp:inline distT="0" distB="0" distL="0" distR="0" wp14:anchorId="5BD807D5" wp14:editId="3F5080BA">
            <wp:extent cx="5725321" cy="3979468"/>
            <wp:effectExtent l="0" t="0" r="0" b="2540"/>
            <wp:docPr id="209501471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014716" name="图片 2095014716"/>
                    <pic:cNvPicPr/>
                  </pic:nvPicPr>
                  <pic:blipFill rotWithShape="1">
                    <a:blip r:embed="rId27" cstate="screen">
                      <a:extLst>
                        <a:ext uri="{28A0092B-C50C-407E-A947-70E740481C1C}">
                          <a14:useLocalDpi xmlns:a14="http://schemas.microsoft.com/office/drawing/2010/main"/>
                        </a:ext>
                      </a:extLst>
                    </a:blip>
                    <a:srcRect/>
                    <a:stretch>
                      <a:fillRect/>
                    </a:stretch>
                  </pic:blipFill>
                  <pic:spPr bwMode="auto">
                    <a:xfrm>
                      <a:off x="0" y="0"/>
                      <a:ext cx="5734061" cy="3985543"/>
                    </a:xfrm>
                    <a:prstGeom prst="rect">
                      <a:avLst/>
                    </a:prstGeom>
                    <a:ln>
                      <a:noFill/>
                    </a:ln>
                    <a:extLst>
                      <a:ext uri="{53640926-AAD7-44D8-BBD7-CCE9431645EC}">
                        <a14:shadowObscured xmlns:a14="http://schemas.microsoft.com/office/drawing/2010/main"/>
                      </a:ext>
                    </a:extLst>
                  </pic:spPr>
                </pic:pic>
              </a:graphicData>
            </a:graphic>
          </wp:inline>
        </w:drawing>
      </w:r>
    </w:p>
    <w:p w14:paraId="0F06DE67" w14:textId="1BE7FE61" w:rsidR="00A43CA4" w:rsidRPr="00590996" w:rsidRDefault="00A43CA4" w:rsidP="003748BF">
      <w:pPr>
        <w:spacing w:before="120" w:after="120" w:line="240" w:lineRule="auto"/>
        <w:jc w:val="both"/>
      </w:pPr>
      <w:r w:rsidRPr="00590996">
        <w:rPr>
          <w:b/>
          <w:bCs/>
        </w:rPr>
        <w:t>Fig</w:t>
      </w:r>
      <w:r w:rsidR="005B2F55" w:rsidRPr="00590996">
        <w:rPr>
          <w:rFonts w:hint="eastAsia"/>
          <w:b/>
          <w:bCs/>
        </w:rPr>
        <w:t>.</w:t>
      </w:r>
      <w:r w:rsidRPr="00590996">
        <w:rPr>
          <w:b/>
          <w:bCs/>
        </w:rPr>
        <w:t xml:space="preserve"> S</w:t>
      </w:r>
      <w:r w:rsidR="00A10022" w:rsidRPr="00590996">
        <w:rPr>
          <w:rFonts w:hint="eastAsia"/>
          <w:b/>
          <w:bCs/>
        </w:rPr>
        <w:t>16</w:t>
      </w:r>
      <w:r w:rsidRPr="00590996">
        <w:t xml:space="preserve"> </w:t>
      </w:r>
      <w:r w:rsidRPr="00590996">
        <w:rPr>
          <w:rFonts w:hint="eastAsia"/>
        </w:rPr>
        <w:t>B</w:t>
      </w:r>
      <w:r w:rsidRPr="00590996">
        <w:t>iocompatibility and biosafety evaluation of MCI-NP@mPD-1.</w:t>
      </w:r>
      <w:r w:rsidRPr="00590996">
        <w:rPr>
          <w:rFonts w:hint="eastAsia"/>
        </w:rPr>
        <w:t xml:space="preserve"> </w:t>
      </w:r>
      <w:r w:rsidR="005B2F55" w:rsidRPr="00590996">
        <w:rPr>
          <w:rFonts w:hint="eastAsia"/>
          <w:b/>
          <w:bCs/>
        </w:rPr>
        <w:t>a</w:t>
      </w:r>
      <w:r w:rsidRPr="00590996">
        <w:t xml:space="preserve"> Hemolysis assay of MCI-NP@mPD-1 following incubation with murine red blood cells at concentrations ranging from 10 to 800 μg</w:t>
      </w:r>
      <w:r w:rsidR="00BD3542" w:rsidRPr="00590996">
        <w:t>·</w:t>
      </w:r>
      <w:r w:rsidR="00BD3542" w:rsidRPr="00590996">
        <w:rPr>
          <w:rFonts w:hint="eastAsia"/>
        </w:rPr>
        <w:t>mL</w:t>
      </w:r>
      <w:r w:rsidR="00BD3542" w:rsidRPr="00590996">
        <w:rPr>
          <w:rFonts w:hint="eastAsia"/>
          <w:vertAlign w:val="superscript"/>
        </w:rPr>
        <w:t>-1</w:t>
      </w:r>
      <w:r w:rsidRPr="00590996">
        <w:t>. No apparent hemolytic activity was observed across the tested concentration range, and quantitative analysis showed that the hemolysis rates of all samples remained below the commonly accepted safety threshold of 5%, indicating good blood compatibility.</w:t>
      </w:r>
      <w:r w:rsidRPr="00590996">
        <w:rPr>
          <w:rFonts w:hint="eastAsia"/>
          <w:b/>
          <w:bCs/>
        </w:rPr>
        <w:t xml:space="preserve"> </w:t>
      </w:r>
      <w:r w:rsidR="005B2F55" w:rsidRPr="00590996">
        <w:rPr>
          <w:rFonts w:hint="eastAsia"/>
          <w:b/>
          <w:bCs/>
        </w:rPr>
        <w:t>b</w:t>
      </w:r>
      <w:r w:rsidRPr="00590996">
        <w:rPr>
          <w:b/>
          <w:bCs/>
        </w:rPr>
        <w:t xml:space="preserve"> </w:t>
      </w:r>
      <w:r w:rsidRPr="00590996">
        <w:t xml:space="preserve">H&amp;E staining of major organs (heart, liver, spleen, lung, and kidney) collected from treated mice. Representative histological images revealed intact tissue architecture without evident inflammatory infiltration, necrosis, or pathological abnormalities, further confirming the </w:t>
      </w:r>
      <w:r w:rsidRPr="00590996">
        <w:rPr>
          <w:i/>
          <w:iCs/>
        </w:rPr>
        <w:t>in vivo</w:t>
      </w:r>
      <w:r w:rsidRPr="00590996">
        <w:t xml:space="preserve"> biosafety of MCI-NP@mPD-1.</w:t>
      </w:r>
      <w:r w:rsidRPr="00590996">
        <w:rPr>
          <w:rFonts w:hint="eastAsia"/>
        </w:rPr>
        <w:t xml:space="preserve"> </w:t>
      </w:r>
      <w:r w:rsidRPr="00590996">
        <w:t>Scale bars, 100 μm.</w:t>
      </w:r>
      <w:r w:rsidRPr="00590996">
        <w:rPr>
          <w:rFonts w:hint="eastAsia"/>
        </w:rPr>
        <w:t xml:space="preserve"> </w:t>
      </w:r>
      <w:r w:rsidR="005B2F55" w:rsidRPr="00590996">
        <w:rPr>
          <w:rFonts w:hint="eastAsia"/>
          <w:b/>
          <w:bCs/>
        </w:rPr>
        <w:t>c</w:t>
      </w:r>
      <w:r w:rsidRPr="00590996">
        <w:t xml:space="preserve"> Hematological and serum biochemical analysis of mice after intravenous administration of MCI-NP@mPD-1. Liver and kidney function markers, as well as blood routine parameters, showed no statistically significant differences compared with control group (p &gt; 0.05), suggesting no detectable systemic toxicity or metabolic disturbance.</w:t>
      </w:r>
    </w:p>
    <w:p w14:paraId="158EC513" w14:textId="77777777" w:rsidR="00A43CA4" w:rsidRPr="00590996" w:rsidRDefault="00A43CA4" w:rsidP="003748BF">
      <w:pPr>
        <w:spacing w:before="120" w:after="120" w:line="240" w:lineRule="auto"/>
        <w:jc w:val="both"/>
      </w:pPr>
    </w:p>
    <w:p w14:paraId="212B3176" w14:textId="56FE8AC3" w:rsidR="00A43CA4" w:rsidRPr="00590996" w:rsidRDefault="008F31C1" w:rsidP="003748BF">
      <w:pPr>
        <w:spacing w:before="120" w:after="120" w:line="240" w:lineRule="auto"/>
        <w:jc w:val="both"/>
      </w:pPr>
      <w:r w:rsidRPr="00590996">
        <w:rPr>
          <w:noProof/>
          <w:lang w:val="en-IN" w:eastAsia="en-IN"/>
        </w:rPr>
        <w:drawing>
          <wp:inline distT="0" distB="0" distL="0" distR="0" wp14:anchorId="7E1E41F0" wp14:editId="1D2FE8E7">
            <wp:extent cx="6188710" cy="1941830"/>
            <wp:effectExtent l="0" t="0" r="2540" b="1270"/>
            <wp:docPr id="186077170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771702" name="图片 1860771702"/>
                    <pic:cNvPicPr/>
                  </pic:nvPicPr>
                  <pic:blipFill>
                    <a:blip r:embed="rId28" cstate="screen">
                      <a:extLst>
                        <a:ext uri="{28A0092B-C50C-407E-A947-70E740481C1C}">
                          <a14:useLocalDpi xmlns:a14="http://schemas.microsoft.com/office/drawing/2010/main"/>
                        </a:ext>
                      </a:extLst>
                    </a:blip>
                    <a:stretch>
                      <a:fillRect/>
                    </a:stretch>
                  </pic:blipFill>
                  <pic:spPr>
                    <a:xfrm>
                      <a:off x="0" y="0"/>
                      <a:ext cx="6188710" cy="1941830"/>
                    </a:xfrm>
                    <a:prstGeom prst="rect">
                      <a:avLst/>
                    </a:prstGeom>
                  </pic:spPr>
                </pic:pic>
              </a:graphicData>
            </a:graphic>
          </wp:inline>
        </w:drawing>
      </w:r>
    </w:p>
    <w:p w14:paraId="725AC8C7" w14:textId="47DAC333" w:rsidR="00A43CA4" w:rsidRPr="00590996" w:rsidRDefault="00A43CA4" w:rsidP="003748BF">
      <w:pPr>
        <w:spacing w:before="120" w:after="120" w:line="240" w:lineRule="auto"/>
        <w:jc w:val="both"/>
      </w:pPr>
      <w:r w:rsidRPr="00590996">
        <w:rPr>
          <w:b/>
          <w:bCs/>
        </w:rPr>
        <w:t>Fig</w:t>
      </w:r>
      <w:r w:rsidR="005B2F55" w:rsidRPr="00590996">
        <w:rPr>
          <w:rFonts w:hint="eastAsia"/>
          <w:b/>
          <w:bCs/>
        </w:rPr>
        <w:t>.</w:t>
      </w:r>
      <w:r w:rsidRPr="00590996">
        <w:rPr>
          <w:b/>
          <w:bCs/>
        </w:rPr>
        <w:t xml:space="preserve"> S</w:t>
      </w:r>
      <w:r w:rsidRPr="00590996">
        <w:rPr>
          <w:rFonts w:hint="eastAsia"/>
          <w:b/>
          <w:bCs/>
        </w:rPr>
        <w:t>1</w:t>
      </w:r>
      <w:r w:rsidR="00120876" w:rsidRPr="00590996">
        <w:rPr>
          <w:rFonts w:hint="eastAsia"/>
          <w:b/>
          <w:bCs/>
        </w:rPr>
        <w:t>7</w:t>
      </w:r>
      <w:r w:rsidRPr="00590996">
        <w:t xml:space="preserve"> Representative tumor images and body weight monitoring during treatment.</w:t>
      </w:r>
      <w:r w:rsidRPr="00590996">
        <w:rPr>
          <w:rFonts w:hint="eastAsia"/>
        </w:rPr>
        <w:t xml:space="preserve"> Related to Fig</w:t>
      </w:r>
      <w:r w:rsidR="005B2F55" w:rsidRPr="00590996">
        <w:rPr>
          <w:rFonts w:hint="eastAsia"/>
        </w:rPr>
        <w:t>.</w:t>
      </w:r>
      <w:r w:rsidRPr="00590996">
        <w:rPr>
          <w:rFonts w:hint="eastAsia"/>
        </w:rPr>
        <w:t xml:space="preserve"> 5.</w:t>
      </w:r>
      <w:r w:rsidR="005B2F55" w:rsidRPr="00590996">
        <w:rPr>
          <w:rFonts w:hint="eastAsia"/>
        </w:rPr>
        <w:t xml:space="preserve"> </w:t>
      </w:r>
      <w:r w:rsidR="005B2F55" w:rsidRPr="00590996">
        <w:rPr>
          <w:rFonts w:hint="eastAsia"/>
          <w:b/>
          <w:bCs/>
        </w:rPr>
        <w:t>a</w:t>
      </w:r>
      <w:r w:rsidRPr="00590996">
        <w:t xml:space="preserve"> Representative photographs of tumor-bearing mice from each treatment group acquired at the indicated time points during the observation period. One mouse per group is shown.</w:t>
      </w:r>
      <w:r w:rsidR="005B2F55" w:rsidRPr="00590996">
        <w:rPr>
          <w:rFonts w:hint="eastAsia"/>
        </w:rPr>
        <w:t xml:space="preserve"> </w:t>
      </w:r>
      <w:r w:rsidR="005B2F55" w:rsidRPr="00590996">
        <w:rPr>
          <w:rFonts w:hint="eastAsia"/>
          <w:b/>
          <w:bCs/>
        </w:rPr>
        <w:t>b</w:t>
      </w:r>
      <w:r w:rsidRPr="00590996">
        <w:t xml:space="preserve"> Body weight changes of mice in different treatment groups throughout the treatment and observation period, indicating no significant systemic toxicity. Data are presented as mean ± SD.</w:t>
      </w:r>
    </w:p>
    <w:p w14:paraId="01395316" w14:textId="77777777" w:rsidR="00120876" w:rsidRPr="00590996" w:rsidRDefault="00120876" w:rsidP="003748BF">
      <w:pPr>
        <w:spacing w:before="120" w:after="120" w:line="240" w:lineRule="auto"/>
        <w:jc w:val="both"/>
      </w:pPr>
    </w:p>
    <w:p w14:paraId="027C7904" w14:textId="547D5ED3" w:rsidR="00120876" w:rsidRPr="00590996" w:rsidRDefault="0073649E" w:rsidP="003748BF">
      <w:pPr>
        <w:spacing w:before="120" w:after="120" w:line="240" w:lineRule="auto"/>
        <w:jc w:val="center"/>
      </w:pPr>
      <w:r w:rsidRPr="00590996">
        <w:rPr>
          <w:noProof/>
          <w:lang w:val="en-IN" w:eastAsia="en-IN"/>
        </w:rPr>
        <w:drawing>
          <wp:inline distT="0" distB="0" distL="0" distR="0" wp14:anchorId="68ABAF0C" wp14:editId="52069A4B">
            <wp:extent cx="5989320" cy="2127504"/>
            <wp:effectExtent l="0" t="0" r="0" b="6350"/>
            <wp:docPr id="205894926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949267" name="图片 2058949267"/>
                    <pic:cNvPicPr/>
                  </pic:nvPicPr>
                  <pic:blipFill>
                    <a:blip r:embed="rId29" cstate="screen">
                      <a:extLst>
                        <a:ext uri="{28A0092B-C50C-407E-A947-70E740481C1C}">
                          <a14:useLocalDpi xmlns:a14="http://schemas.microsoft.com/office/drawing/2010/main"/>
                        </a:ext>
                      </a:extLst>
                    </a:blip>
                    <a:stretch>
                      <a:fillRect/>
                    </a:stretch>
                  </pic:blipFill>
                  <pic:spPr>
                    <a:xfrm>
                      <a:off x="0" y="0"/>
                      <a:ext cx="5989320" cy="2127504"/>
                    </a:xfrm>
                    <a:prstGeom prst="rect">
                      <a:avLst/>
                    </a:prstGeom>
                  </pic:spPr>
                </pic:pic>
              </a:graphicData>
            </a:graphic>
          </wp:inline>
        </w:drawing>
      </w:r>
    </w:p>
    <w:p w14:paraId="0855E976" w14:textId="6CA5EBBF" w:rsidR="00120876" w:rsidRPr="00590996" w:rsidRDefault="00120876" w:rsidP="003748BF">
      <w:pPr>
        <w:spacing w:before="120" w:after="120" w:line="240" w:lineRule="auto"/>
        <w:jc w:val="both"/>
      </w:pPr>
      <w:r w:rsidRPr="00590996">
        <w:rPr>
          <w:b/>
          <w:bCs/>
        </w:rPr>
        <w:t xml:space="preserve">Fig. S18 </w:t>
      </w:r>
      <w:r w:rsidR="00F65176" w:rsidRPr="00590996">
        <w:t>H&amp;E staining of normal skin tissues collected approximately 2 mm from the tumor margin at 24 h after photothermal treatment in MCI-NP@mPD-1+Laser-treated mice. Scale bars</w:t>
      </w:r>
      <w:r w:rsidR="00D76A33" w:rsidRPr="00590996">
        <w:rPr>
          <w:rFonts w:hint="eastAsia"/>
        </w:rPr>
        <w:t>,</w:t>
      </w:r>
      <w:r w:rsidR="00F65176" w:rsidRPr="00590996">
        <w:t xml:space="preserve"> 100 μm.</w:t>
      </w:r>
    </w:p>
    <w:p w14:paraId="493974D8" w14:textId="77777777" w:rsidR="00120876" w:rsidRPr="00590996" w:rsidRDefault="00120876" w:rsidP="003748BF">
      <w:pPr>
        <w:spacing w:before="120" w:after="120" w:line="240" w:lineRule="auto"/>
        <w:jc w:val="both"/>
      </w:pPr>
    </w:p>
    <w:p w14:paraId="1FD56EBC" w14:textId="67E903F9" w:rsidR="00A43CA4" w:rsidRPr="00590996" w:rsidRDefault="008F31C1" w:rsidP="003748BF">
      <w:pPr>
        <w:spacing w:before="120" w:after="120" w:line="240" w:lineRule="auto"/>
        <w:jc w:val="center"/>
      </w:pPr>
      <w:r w:rsidRPr="00590996">
        <w:rPr>
          <w:noProof/>
          <w:lang w:val="en-IN" w:eastAsia="en-IN"/>
        </w:rPr>
        <w:drawing>
          <wp:inline distT="0" distB="0" distL="0" distR="0" wp14:anchorId="714A5839" wp14:editId="625A07CF">
            <wp:extent cx="6188710" cy="5313045"/>
            <wp:effectExtent l="0" t="0" r="2540" b="1905"/>
            <wp:docPr id="161250614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506148" name="图片 1612506148"/>
                    <pic:cNvPicPr/>
                  </pic:nvPicPr>
                  <pic:blipFill>
                    <a:blip r:embed="rId30" cstate="screen">
                      <a:extLst>
                        <a:ext uri="{28A0092B-C50C-407E-A947-70E740481C1C}">
                          <a14:useLocalDpi xmlns:a14="http://schemas.microsoft.com/office/drawing/2010/main"/>
                        </a:ext>
                      </a:extLst>
                    </a:blip>
                    <a:stretch>
                      <a:fillRect/>
                    </a:stretch>
                  </pic:blipFill>
                  <pic:spPr>
                    <a:xfrm>
                      <a:off x="0" y="0"/>
                      <a:ext cx="6188710" cy="5313045"/>
                    </a:xfrm>
                    <a:prstGeom prst="rect">
                      <a:avLst/>
                    </a:prstGeom>
                  </pic:spPr>
                </pic:pic>
              </a:graphicData>
            </a:graphic>
          </wp:inline>
        </w:drawing>
      </w:r>
    </w:p>
    <w:p w14:paraId="2E794C7F" w14:textId="30369D55" w:rsidR="00A43CA4" w:rsidRPr="00590996" w:rsidRDefault="00A43CA4" w:rsidP="003748BF">
      <w:pPr>
        <w:spacing w:before="120" w:after="120" w:line="240" w:lineRule="auto"/>
        <w:jc w:val="both"/>
      </w:pPr>
      <w:r w:rsidRPr="00590996">
        <w:rPr>
          <w:rFonts w:hint="eastAsia"/>
          <w:b/>
          <w:bCs/>
        </w:rPr>
        <w:t>Fig</w:t>
      </w:r>
      <w:r w:rsidR="005B2F55" w:rsidRPr="00590996">
        <w:rPr>
          <w:rFonts w:hint="eastAsia"/>
          <w:b/>
          <w:bCs/>
        </w:rPr>
        <w:t>.</w:t>
      </w:r>
      <w:r w:rsidRPr="00590996">
        <w:rPr>
          <w:rFonts w:hint="eastAsia"/>
          <w:b/>
          <w:bCs/>
        </w:rPr>
        <w:t xml:space="preserve"> S1</w:t>
      </w:r>
      <w:r w:rsidR="008266D7" w:rsidRPr="00590996">
        <w:rPr>
          <w:rFonts w:hint="eastAsia"/>
          <w:b/>
          <w:bCs/>
        </w:rPr>
        <w:t>9</w:t>
      </w:r>
      <w:r w:rsidRPr="00590996">
        <w:rPr>
          <w:rFonts w:hint="eastAsia"/>
        </w:rPr>
        <w:t xml:space="preserve"> </w:t>
      </w:r>
      <w:r w:rsidRPr="00590996">
        <w:t xml:space="preserve">Representative gating strategy and individual flow cytometry plots for analysis of intratumoral </w:t>
      </w:r>
      <w:r w:rsidRPr="00590996">
        <w:rPr>
          <w:rFonts w:hint="eastAsia"/>
        </w:rPr>
        <w:t>CD3</w:t>
      </w:r>
      <w:r w:rsidRPr="00590996">
        <w:rPr>
          <w:rFonts w:hint="eastAsia"/>
          <w:vertAlign w:val="superscript"/>
        </w:rPr>
        <w:t>+</w:t>
      </w:r>
      <w:r w:rsidRPr="00590996">
        <w:rPr>
          <w:rFonts w:hint="eastAsia"/>
        </w:rPr>
        <w:t xml:space="preserve"> </w:t>
      </w:r>
      <w:r w:rsidRPr="00590996">
        <w:t>CD4</w:t>
      </w:r>
      <w:r w:rsidRPr="00590996">
        <w:rPr>
          <w:vertAlign w:val="superscript"/>
        </w:rPr>
        <w:t>+</w:t>
      </w:r>
      <w:r w:rsidRPr="00590996">
        <w:t xml:space="preserve"> and </w:t>
      </w:r>
      <w:r w:rsidRPr="00590996">
        <w:rPr>
          <w:rFonts w:hint="eastAsia"/>
        </w:rPr>
        <w:t>CD3</w:t>
      </w:r>
      <w:r w:rsidRPr="00590996">
        <w:rPr>
          <w:rFonts w:hint="eastAsia"/>
          <w:vertAlign w:val="superscript"/>
        </w:rPr>
        <w:t>+</w:t>
      </w:r>
      <w:r w:rsidRPr="00590996">
        <w:rPr>
          <w:rFonts w:hint="eastAsia"/>
        </w:rPr>
        <w:t xml:space="preserve"> </w:t>
      </w:r>
      <w:r w:rsidRPr="00590996">
        <w:t>CD8</w:t>
      </w:r>
      <w:r w:rsidRPr="00590996">
        <w:rPr>
          <w:vertAlign w:val="superscript"/>
        </w:rPr>
        <w:t>+</w:t>
      </w:r>
      <w:r w:rsidRPr="00590996">
        <w:t xml:space="preserve"> T cells (related to Fig</w:t>
      </w:r>
      <w:r w:rsidR="005B2F55" w:rsidRPr="00590996">
        <w:rPr>
          <w:rFonts w:hint="eastAsia"/>
        </w:rPr>
        <w:t>.</w:t>
      </w:r>
      <w:r w:rsidRPr="00590996">
        <w:t xml:space="preserve"> 6</w:t>
      </w:r>
      <w:r w:rsidR="005B2F55" w:rsidRPr="00590996">
        <w:rPr>
          <w:rFonts w:hint="eastAsia"/>
        </w:rPr>
        <w:t>b</w:t>
      </w:r>
      <w:r w:rsidRPr="00590996">
        <w:t>).</w:t>
      </w:r>
    </w:p>
    <w:p w14:paraId="7E787C06" w14:textId="19EAAF30" w:rsidR="00A43CA4" w:rsidRPr="00590996" w:rsidRDefault="008F31C1" w:rsidP="003748BF">
      <w:pPr>
        <w:spacing w:before="120" w:after="120" w:line="240" w:lineRule="auto"/>
        <w:jc w:val="center"/>
      </w:pPr>
      <w:r w:rsidRPr="00590996">
        <w:rPr>
          <w:noProof/>
          <w:lang w:val="en-IN" w:eastAsia="en-IN"/>
        </w:rPr>
        <w:drawing>
          <wp:inline distT="0" distB="0" distL="0" distR="0" wp14:anchorId="5B4F833A" wp14:editId="32EA84DD">
            <wp:extent cx="4953000" cy="6812280"/>
            <wp:effectExtent l="0" t="0" r="0" b="7620"/>
            <wp:docPr id="119355431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554317" name="图片 1193554317"/>
                    <pic:cNvPicPr/>
                  </pic:nvPicPr>
                  <pic:blipFill>
                    <a:blip r:embed="rId31" cstate="screen">
                      <a:extLst>
                        <a:ext uri="{28A0092B-C50C-407E-A947-70E740481C1C}">
                          <a14:useLocalDpi xmlns:a14="http://schemas.microsoft.com/office/drawing/2010/main"/>
                        </a:ext>
                      </a:extLst>
                    </a:blip>
                    <a:stretch>
                      <a:fillRect/>
                    </a:stretch>
                  </pic:blipFill>
                  <pic:spPr>
                    <a:xfrm>
                      <a:off x="0" y="0"/>
                      <a:ext cx="4953000" cy="6812280"/>
                    </a:xfrm>
                    <a:prstGeom prst="rect">
                      <a:avLst/>
                    </a:prstGeom>
                  </pic:spPr>
                </pic:pic>
              </a:graphicData>
            </a:graphic>
          </wp:inline>
        </w:drawing>
      </w:r>
    </w:p>
    <w:p w14:paraId="6F3AF4DA" w14:textId="7D669F5C" w:rsidR="00A43CA4" w:rsidRPr="00590996" w:rsidRDefault="00A43CA4" w:rsidP="003748BF">
      <w:pPr>
        <w:spacing w:before="120" w:after="120" w:line="240" w:lineRule="auto"/>
        <w:jc w:val="both"/>
      </w:pPr>
      <w:r w:rsidRPr="00590996">
        <w:rPr>
          <w:rFonts w:hint="eastAsia"/>
          <w:b/>
          <w:bCs/>
        </w:rPr>
        <w:t>Fig</w:t>
      </w:r>
      <w:r w:rsidR="005B2F55" w:rsidRPr="00590996">
        <w:rPr>
          <w:rFonts w:hint="eastAsia"/>
          <w:b/>
          <w:bCs/>
        </w:rPr>
        <w:t>.</w:t>
      </w:r>
      <w:r w:rsidRPr="00590996">
        <w:rPr>
          <w:rFonts w:hint="eastAsia"/>
          <w:b/>
          <w:bCs/>
        </w:rPr>
        <w:t xml:space="preserve"> S</w:t>
      </w:r>
      <w:r w:rsidR="008266D7" w:rsidRPr="00590996">
        <w:rPr>
          <w:rFonts w:hint="eastAsia"/>
          <w:b/>
          <w:bCs/>
        </w:rPr>
        <w:t>20</w:t>
      </w:r>
      <w:r w:rsidRPr="00590996">
        <w:rPr>
          <w:rFonts w:hint="eastAsia"/>
        </w:rPr>
        <w:t xml:space="preserve"> </w:t>
      </w:r>
      <w:r w:rsidRPr="00590996">
        <w:t>Representative gating strategy and individual flow cytometry plots for analysis of intratumoral T</w:t>
      </w:r>
      <w:r w:rsidRPr="00590996">
        <w:rPr>
          <w:rFonts w:hint="eastAsia"/>
        </w:rPr>
        <w:t>regs</w:t>
      </w:r>
      <w:r w:rsidRPr="00590996">
        <w:t xml:space="preserve"> (related to Fig</w:t>
      </w:r>
      <w:r w:rsidR="005B2F55" w:rsidRPr="00590996">
        <w:rPr>
          <w:rFonts w:hint="eastAsia"/>
        </w:rPr>
        <w:t>.</w:t>
      </w:r>
      <w:r w:rsidRPr="00590996">
        <w:t xml:space="preserve"> 6</w:t>
      </w:r>
      <w:r w:rsidR="005B2F55" w:rsidRPr="00590996">
        <w:rPr>
          <w:rFonts w:hint="eastAsia"/>
        </w:rPr>
        <w:t>b</w:t>
      </w:r>
      <w:r w:rsidRPr="00590996">
        <w:t>).</w:t>
      </w:r>
    </w:p>
    <w:p w14:paraId="43D04701" w14:textId="77777777" w:rsidR="00A43CA4" w:rsidRPr="00590996" w:rsidRDefault="00A43CA4" w:rsidP="003748BF">
      <w:pPr>
        <w:spacing w:before="120" w:after="120" w:line="240" w:lineRule="auto"/>
        <w:jc w:val="both"/>
      </w:pPr>
    </w:p>
    <w:p w14:paraId="2840DC4A" w14:textId="77777777" w:rsidR="00A43CA4" w:rsidRPr="00590996" w:rsidRDefault="00A43CA4" w:rsidP="003748BF">
      <w:pPr>
        <w:spacing w:before="120" w:after="120" w:line="240" w:lineRule="auto"/>
        <w:jc w:val="both"/>
        <w:rPr>
          <w:noProof/>
        </w:rPr>
      </w:pPr>
    </w:p>
    <w:p w14:paraId="5B4FBE13" w14:textId="77777777" w:rsidR="00A43CA4" w:rsidRPr="00590996" w:rsidRDefault="00A43CA4" w:rsidP="003748BF">
      <w:pPr>
        <w:spacing w:before="120" w:after="120" w:line="240" w:lineRule="auto"/>
        <w:jc w:val="center"/>
      </w:pPr>
      <w:r w:rsidRPr="00590996">
        <w:rPr>
          <w:rFonts w:hint="eastAsia"/>
          <w:noProof/>
          <w:lang w:val="en-IN" w:eastAsia="en-IN"/>
        </w:rPr>
        <w:drawing>
          <wp:inline distT="0" distB="0" distL="0" distR="0" wp14:anchorId="2CAE0009" wp14:editId="69F7E501">
            <wp:extent cx="4476750" cy="3752740"/>
            <wp:effectExtent l="0" t="0" r="0" b="635"/>
            <wp:docPr id="161353721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537219" name="图片 1613537219"/>
                    <pic:cNvPicPr/>
                  </pic:nvPicPr>
                  <pic:blipFill rotWithShape="1">
                    <a:blip r:embed="rId32" cstate="screen">
                      <a:extLst>
                        <a:ext uri="{28A0092B-C50C-407E-A947-70E740481C1C}">
                          <a14:useLocalDpi xmlns:a14="http://schemas.microsoft.com/office/drawing/2010/main"/>
                        </a:ext>
                      </a:extLst>
                    </a:blip>
                    <a:srcRect/>
                    <a:stretch>
                      <a:fillRect/>
                    </a:stretch>
                  </pic:blipFill>
                  <pic:spPr bwMode="auto">
                    <a:xfrm>
                      <a:off x="0" y="0"/>
                      <a:ext cx="4476861" cy="3752833"/>
                    </a:xfrm>
                    <a:prstGeom prst="rect">
                      <a:avLst/>
                    </a:prstGeom>
                    <a:ln>
                      <a:noFill/>
                    </a:ln>
                    <a:extLst>
                      <a:ext uri="{53640926-AAD7-44D8-BBD7-CCE9431645EC}">
                        <a14:shadowObscured xmlns:a14="http://schemas.microsoft.com/office/drawing/2010/main"/>
                      </a:ext>
                    </a:extLst>
                  </pic:spPr>
                </pic:pic>
              </a:graphicData>
            </a:graphic>
          </wp:inline>
        </w:drawing>
      </w:r>
    </w:p>
    <w:p w14:paraId="1D3BCBC7" w14:textId="27502B8F" w:rsidR="00A43CA4" w:rsidRPr="00590996" w:rsidRDefault="00A43CA4" w:rsidP="003748BF">
      <w:pPr>
        <w:spacing w:before="120" w:after="120" w:line="240" w:lineRule="auto"/>
        <w:jc w:val="both"/>
      </w:pPr>
      <w:r w:rsidRPr="00590996">
        <w:rPr>
          <w:rFonts w:hint="eastAsia"/>
          <w:b/>
          <w:bCs/>
        </w:rPr>
        <w:t>Fig</w:t>
      </w:r>
      <w:r w:rsidR="005B2F55" w:rsidRPr="00590996">
        <w:rPr>
          <w:rFonts w:hint="eastAsia"/>
          <w:b/>
          <w:bCs/>
        </w:rPr>
        <w:t>.</w:t>
      </w:r>
      <w:r w:rsidRPr="00590996">
        <w:rPr>
          <w:rFonts w:hint="eastAsia"/>
          <w:b/>
          <w:bCs/>
        </w:rPr>
        <w:t xml:space="preserve"> S</w:t>
      </w:r>
      <w:r w:rsidR="0020400D" w:rsidRPr="00590996">
        <w:rPr>
          <w:rFonts w:hint="eastAsia"/>
          <w:b/>
          <w:bCs/>
        </w:rPr>
        <w:t>21</w:t>
      </w:r>
      <w:r w:rsidRPr="00590996">
        <w:rPr>
          <w:rFonts w:hint="eastAsia"/>
        </w:rPr>
        <w:t xml:space="preserve"> </w:t>
      </w:r>
      <w:r w:rsidRPr="00590996">
        <w:t>Representative gating strategy for flow cytometric analysis of effector memory T cells</w:t>
      </w:r>
      <w:r w:rsidRPr="00590996">
        <w:rPr>
          <w:rFonts w:hint="eastAsia"/>
        </w:rPr>
        <w:t xml:space="preserve"> </w:t>
      </w:r>
      <w:r w:rsidRPr="00590996">
        <w:t>(T</w:t>
      </w:r>
      <w:r w:rsidRPr="00590996">
        <w:rPr>
          <w:vertAlign w:val="subscript"/>
        </w:rPr>
        <w:t>EM</w:t>
      </w:r>
      <w:r w:rsidRPr="00590996">
        <w:t>; CD44</w:t>
      </w:r>
      <w:r w:rsidRPr="00590996">
        <w:rPr>
          <w:vertAlign w:val="superscript"/>
        </w:rPr>
        <w:t>+</w:t>
      </w:r>
      <w:r w:rsidRPr="00590996">
        <w:rPr>
          <w:rFonts w:hint="eastAsia"/>
        </w:rPr>
        <w:t xml:space="preserve"> </w:t>
      </w:r>
      <w:r w:rsidRPr="00590996">
        <w:t>CD62L</w:t>
      </w:r>
      <w:r w:rsidRPr="00590996">
        <w:rPr>
          <w:vertAlign w:val="superscript"/>
        </w:rPr>
        <w:t>−</w:t>
      </w:r>
      <w:r w:rsidRPr="00590996">
        <w:t>) in peripheral blood (related to Fig</w:t>
      </w:r>
      <w:r w:rsidR="005B2F55" w:rsidRPr="00590996">
        <w:rPr>
          <w:rFonts w:hint="eastAsia"/>
        </w:rPr>
        <w:t>.</w:t>
      </w:r>
      <w:r w:rsidRPr="00590996">
        <w:t xml:space="preserve"> </w:t>
      </w:r>
      <w:r w:rsidRPr="00590996">
        <w:rPr>
          <w:rFonts w:hint="eastAsia"/>
        </w:rPr>
        <w:t>7</w:t>
      </w:r>
      <w:r w:rsidR="005B2F55" w:rsidRPr="00590996">
        <w:rPr>
          <w:rFonts w:hint="eastAsia"/>
        </w:rPr>
        <w:t>g</w:t>
      </w:r>
      <w:r w:rsidRPr="00590996">
        <w:t>).</w:t>
      </w:r>
    </w:p>
    <w:p w14:paraId="13A822A9" w14:textId="25F6470B" w:rsidR="004101C8" w:rsidRPr="00590996" w:rsidRDefault="008F31C1" w:rsidP="003748BF">
      <w:pPr>
        <w:spacing w:before="120" w:after="120" w:line="240" w:lineRule="auto"/>
        <w:jc w:val="both"/>
      </w:pPr>
      <w:r w:rsidRPr="00590996">
        <w:rPr>
          <w:noProof/>
          <w:lang w:val="en-IN" w:eastAsia="en-IN"/>
        </w:rPr>
        <w:drawing>
          <wp:inline distT="0" distB="0" distL="0" distR="0" wp14:anchorId="74104750" wp14:editId="66194595">
            <wp:extent cx="6188710" cy="3522345"/>
            <wp:effectExtent l="0" t="0" r="2540" b="1905"/>
            <wp:docPr id="38876017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760176" name="图片 388760176"/>
                    <pic:cNvPicPr/>
                  </pic:nvPicPr>
                  <pic:blipFill>
                    <a:blip r:embed="rId33" cstate="screen">
                      <a:extLst>
                        <a:ext uri="{28A0092B-C50C-407E-A947-70E740481C1C}">
                          <a14:useLocalDpi xmlns:a14="http://schemas.microsoft.com/office/drawing/2010/main"/>
                        </a:ext>
                      </a:extLst>
                    </a:blip>
                    <a:stretch>
                      <a:fillRect/>
                    </a:stretch>
                  </pic:blipFill>
                  <pic:spPr>
                    <a:xfrm>
                      <a:off x="0" y="0"/>
                      <a:ext cx="6188710" cy="3522345"/>
                    </a:xfrm>
                    <a:prstGeom prst="rect">
                      <a:avLst/>
                    </a:prstGeom>
                  </pic:spPr>
                </pic:pic>
              </a:graphicData>
            </a:graphic>
          </wp:inline>
        </w:drawing>
      </w:r>
    </w:p>
    <w:p w14:paraId="0A192709" w14:textId="622C6CD5" w:rsidR="004101C8" w:rsidRPr="00590996" w:rsidRDefault="004101C8" w:rsidP="003748BF">
      <w:pPr>
        <w:spacing w:before="120" w:after="120" w:line="240" w:lineRule="auto"/>
        <w:jc w:val="both"/>
      </w:pPr>
      <w:r w:rsidRPr="00590996">
        <w:rPr>
          <w:rFonts w:hint="eastAsia"/>
          <w:b/>
          <w:bCs/>
        </w:rPr>
        <w:t>Fig. S22</w:t>
      </w:r>
      <w:r w:rsidRPr="00590996">
        <w:rPr>
          <w:rFonts w:hint="eastAsia"/>
        </w:rPr>
        <w:t xml:space="preserve"> </w:t>
      </w:r>
      <w:r w:rsidRPr="00590996">
        <w:t xml:space="preserve">Antitumor efficacy of MCI-NP@mPD-1-mediated photothermal-immunotherapy in a bilateral Hepa1-6 tumor model. </w:t>
      </w:r>
      <w:r w:rsidRPr="00590996">
        <w:rPr>
          <w:b/>
          <w:bCs/>
        </w:rPr>
        <w:t>a</w:t>
      </w:r>
      <w:r w:rsidRPr="00590996">
        <w:t xml:space="preserve"> Schematic illustration of the experimental design. Mice bearing bilateral Hepa1-6 tumors were intravenously administered MCI-NP@mPD-1, followed by laser irradiation applied only to the primary tumor. </w:t>
      </w:r>
      <w:r w:rsidRPr="00590996">
        <w:rPr>
          <w:b/>
          <w:bCs/>
        </w:rPr>
        <w:t>b</w:t>
      </w:r>
      <w:r w:rsidRPr="00590996">
        <w:t xml:space="preserve"> Growth curves of primary and distant tumors in PBS and MCI-NP@mPD-1+Laser groups. </w:t>
      </w:r>
      <w:r w:rsidRPr="00590996">
        <w:rPr>
          <w:b/>
          <w:bCs/>
        </w:rPr>
        <w:t>c</w:t>
      </w:r>
      <w:r w:rsidRPr="00590996">
        <w:t xml:space="preserve"> </w:t>
      </w:r>
      <w:r w:rsidRPr="00590996">
        <w:rPr>
          <w:rFonts w:hint="eastAsia"/>
        </w:rPr>
        <w:t>P</w:t>
      </w:r>
      <w:r w:rsidRPr="00590996">
        <w:t xml:space="preserve">hotographs of excised primary and distant tumors collected at the experimental endpoint. </w:t>
      </w:r>
      <w:r w:rsidRPr="00590996">
        <w:rPr>
          <w:b/>
          <w:bCs/>
        </w:rPr>
        <w:t>d</w:t>
      </w:r>
      <w:r w:rsidRPr="00590996">
        <w:t xml:space="preserve"> Final weights of primary and distant tumors from each treatment group. </w:t>
      </w:r>
      <w:r w:rsidR="00E553A1" w:rsidRPr="00590996">
        <w:t xml:space="preserve">Data are presented as mean ± SD (n = 6). Statistical significance was determined by unpaired two-tailed Student’s t-test. </w:t>
      </w:r>
      <w:r w:rsidR="00E553A1" w:rsidRPr="00590996">
        <w:rPr>
          <w:i/>
          <w:iCs/>
        </w:rPr>
        <w:t>****</w:t>
      </w:r>
      <w:r w:rsidR="00E553A1" w:rsidRPr="00590996">
        <w:rPr>
          <w:rFonts w:hint="eastAsia"/>
          <w:i/>
          <w:iCs/>
        </w:rPr>
        <w:t>p</w:t>
      </w:r>
      <w:r w:rsidR="00E553A1" w:rsidRPr="00590996">
        <w:t xml:space="preserve"> &lt; 0.0001.</w:t>
      </w:r>
    </w:p>
    <w:p w14:paraId="5D580842" w14:textId="1541C6DD" w:rsidR="006E25F8" w:rsidRPr="00590996" w:rsidRDefault="006E25F8" w:rsidP="003748BF">
      <w:pPr>
        <w:spacing w:before="120" w:after="120" w:line="240" w:lineRule="auto"/>
        <w:jc w:val="both"/>
      </w:pPr>
    </w:p>
    <w:p w14:paraId="410674C1" w14:textId="77777777" w:rsidR="006E25F8" w:rsidRPr="00590996" w:rsidRDefault="006E25F8" w:rsidP="006E25F8">
      <w:pPr>
        <w:spacing w:before="120" w:after="120" w:line="240" w:lineRule="auto"/>
        <w:jc w:val="both"/>
        <w:rPr>
          <w:b/>
          <w:bCs/>
        </w:rPr>
      </w:pPr>
      <w:r w:rsidRPr="00590996">
        <w:rPr>
          <w:rFonts w:cs="Times New Roman"/>
          <w:b/>
          <w:bCs/>
          <w:sz w:val="28"/>
          <w:szCs w:val="28"/>
        </w:rPr>
        <w:t xml:space="preserve">Supplementary </w:t>
      </w:r>
      <w:r w:rsidRPr="00590996">
        <w:rPr>
          <w:rFonts w:cs="Times New Roman" w:hint="eastAsia"/>
          <w:b/>
          <w:bCs/>
          <w:sz w:val="28"/>
          <w:szCs w:val="28"/>
        </w:rPr>
        <w:t>References</w:t>
      </w:r>
    </w:p>
    <w:p w14:paraId="2FB9EA1A" w14:textId="44262429" w:rsidR="006E25F8" w:rsidRPr="00590996" w:rsidRDefault="006E25F8" w:rsidP="006E25F8">
      <w:pPr>
        <w:pStyle w:val="EndNoteBibliography"/>
        <w:numPr>
          <w:ilvl w:val="0"/>
          <w:numId w:val="1"/>
        </w:numPr>
        <w:spacing w:before="120" w:after="120"/>
      </w:pPr>
      <w:r w:rsidRPr="00590996">
        <w:fldChar w:fldCharType="begin"/>
      </w:r>
      <w:r w:rsidRPr="00590996">
        <w:instrText xml:space="preserve"> ADDIN EN.REFLIST </w:instrText>
      </w:r>
      <w:r w:rsidRPr="00590996">
        <w:fldChar w:fldCharType="separate"/>
      </w:r>
      <w:r w:rsidRPr="00590996">
        <w:t xml:space="preserve">M. Wu, C. Zhang, A. Zhong, H. Li, Y. Zhou et al., Systemic delivery of stealth adenoviral vector to reinvigorate antitumor immunity by PD-L1 genome editing and TIGIT/CD155 blockade. Fundam. Res. (2025). </w:t>
      </w:r>
      <w:hyperlink r:id="rId34" w:history="1">
        <w:r w:rsidRPr="00590996">
          <w:rPr>
            <w:rStyle w:val="Hyperlink"/>
            <w:color w:val="0070C0"/>
          </w:rPr>
          <w:t>https://doi.org/10.1016/j.fmre.2025.04.015</w:t>
        </w:r>
      </w:hyperlink>
      <w:r w:rsidR="00AC2F0E" w:rsidRPr="00590996">
        <w:rPr>
          <w:rStyle w:val="Hyperlink"/>
          <w:color w:val="0070C0"/>
        </w:rPr>
        <w:t xml:space="preserve"> </w:t>
      </w:r>
    </w:p>
    <w:p w14:paraId="0A56C70F" w14:textId="77777777" w:rsidR="006E25F8" w:rsidRPr="00590996" w:rsidRDefault="006E25F8" w:rsidP="006E25F8">
      <w:pPr>
        <w:pStyle w:val="EndNoteBibliography"/>
        <w:numPr>
          <w:ilvl w:val="0"/>
          <w:numId w:val="1"/>
        </w:numPr>
        <w:spacing w:before="120" w:after="120"/>
      </w:pPr>
      <w:r w:rsidRPr="00590996">
        <w:t xml:space="preserve">W. Peng, Y. Cao, Y. Zhang, A. Zhong, C. Zhang et al., Optimal Irreversible Electroporation Combined with Nano‐Enabled Immunomodulatory to Boost Systemic Antitumor Immunity. Adv. Healthcare Mater. </w:t>
      </w:r>
      <w:r w:rsidRPr="00590996">
        <w:rPr>
          <w:b/>
        </w:rPr>
        <w:t>13</w:t>
      </w:r>
      <w:r w:rsidRPr="00590996">
        <w:t xml:space="preserve">(7), 2302549 (2024). </w:t>
      </w:r>
      <w:hyperlink r:id="rId35" w:history="1">
        <w:r w:rsidRPr="00590996">
          <w:rPr>
            <w:rStyle w:val="Hyperlink"/>
            <w:color w:val="0070C0"/>
          </w:rPr>
          <w:t>https://doi.org/10.1002/adhm.202302549</w:t>
        </w:r>
      </w:hyperlink>
    </w:p>
    <w:p w14:paraId="3E1F353C" w14:textId="77777777" w:rsidR="006E25F8" w:rsidRPr="00590996" w:rsidRDefault="006E25F8" w:rsidP="006E25F8">
      <w:pPr>
        <w:pStyle w:val="EndNoteBibliography"/>
        <w:numPr>
          <w:ilvl w:val="0"/>
          <w:numId w:val="1"/>
        </w:numPr>
        <w:spacing w:before="120" w:after="120"/>
      </w:pPr>
      <w:r w:rsidRPr="00590996">
        <w:t xml:space="preserve">Y. Zhang, A. Zhong, J. Min, H. Tu, Y. Cao et al., Biomimetic responsive nanoconverters with immune checkpoint blockade plus antiangiogenesis for advanced hepatocellular carcinoma treatment. ACS Appl. Mater. Interfaces </w:t>
      </w:r>
      <w:r w:rsidRPr="00590996">
        <w:rPr>
          <w:b/>
        </w:rPr>
        <w:t>16</w:t>
      </w:r>
      <w:r w:rsidRPr="00590996">
        <w:t xml:space="preserve">(6), 6894-6907 (2024). </w:t>
      </w:r>
      <w:hyperlink r:id="rId36" w:history="1">
        <w:r w:rsidRPr="00590996">
          <w:rPr>
            <w:rStyle w:val="Hyperlink"/>
            <w:color w:val="0070C0"/>
          </w:rPr>
          <w:t>https://doi.org/10.1021/acsami.3c18140</w:t>
        </w:r>
      </w:hyperlink>
    </w:p>
    <w:p w14:paraId="1776BB91" w14:textId="4E4A0DC5" w:rsidR="006E25F8" w:rsidRPr="00B0438F" w:rsidRDefault="006E25F8" w:rsidP="006E25F8">
      <w:pPr>
        <w:spacing w:before="120" w:after="120" w:line="240" w:lineRule="auto"/>
        <w:jc w:val="both"/>
      </w:pPr>
      <w:r w:rsidRPr="00590996">
        <w:fldChar w:fldCharType="end"/>
      </w:r>
      <w:bookmarkEnd w:id="0"/>
    </w:p>
    <w:sectPr w:rsidR="006E25F8" w:rsidRPr="00B0438F" w:rsidSect="00590996">
      <w:headerReference w:type="default" r:id="rId37"/>
      <w:footerReference w:type="default" r:id="rId38"/>
      <w:pgSz w:w="11906" w:h="16838"/>
      <w:pgMar w:top="1440" w:right="1080" w:bottom="1440" w:left="1080" w:header="851" w:footer="992" w:gutter="0"/>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FDBDD3" w14:textId="77777777" w:rsidR="008D482A" w:rsidRDefault="008D482A" w:rsidP="00FE1DE9">
      <w:pPr>
        <w:spacing w:line="240" w:lineRule="auto"/>
      </w:pPr>
      <w:r>
        <w:separator/>
      </w:r>
    </w:p>
  </w:endnote>
  <w:endnote w:type="continuationSeparator" w:id="0">
    <w:p w14:paraId="4F4D5950" w14:textId="77777777" w:rsidR="008D482A" w:rsidRDefault="008D482A" w:rsidP="00FE1D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engXian">
    <w:altName w:val="Arial Unicode MS"/>
    <w:charset w:val="86"/>
    <w:family w:val="auto"/>
    <w:pitch w:val="variable"/>
    <w:sig w:usb0="00000000"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Arial Unicode MS"/>
    <w:charset w:val="86"/>
    <w:family w:val="auto"/>
    <w:pitch w:val="variable"/>
    <w:sig w:usb0="00000000"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8397991"/>
      <w:docPartObj>
        <w:docPartGallery w:val="Page Numbers (Bottom of Page)"/>
        <w:docPartUnique/>
      </w:docPartObj>
    </w:sdtPr>
    <w:sdtEndPr/>
    <w:sdtContent>
      <w:p w14:paraId="4DAC0157" w14:textId="47AEB00E" w:rsidR="00C04813" w:rsidRDefault="00C04813" w:rsidP="00C04813">
        <w:pPr>
          <w:pStyle w:val="Footer"/>
          <w:jc w:val="center"/>
        </w:pPr>
        <w:r w:rsidRPr="00C04813">
          <w:rPr>
            <w:sz w:val="24"/>
            <w:szCs w:val="24"/>
          </w:rPr>
          <w:t>S</w:t>
        </w:r>
        <w:r w:rsidRPr="00C04813">
          <w:rPr>
            <w:sz w:val="24"/>
            <w:szCs w:val="24"/>
          </w:rPr>
          <w:fldChar w:fldCharType="begin"/>
        </w:r>
        <w:r w:rsidRPr="00C04813">
          <w:rPr>
            <w:sz w:val="24"/>
            <w:szCs w:val="24"/>
          </w:rPr>
          <w:instrText>PAGE   \* MERGEFORMAT</w:instrText>
        </w:r>
        <w:r w:rsidRPr="00C04813">
          <w:rPr>
            <w:sz w:val="24"/>
            <w:szCs w:val="24"/>
          </w:rPr>
          <w:fldChar w:fldCharType="separate"/>
        </w:r>
        <w:r w:rsidR="00590996" w:rsidRPr="00590996">
          <w:rPr>
            <w:noProof/>
            <w:sz w:val="24"/>
            <w:szCs w:val="24"/>
            <w:lang w:val="zh-CN"/>
          </w:rPr>
          <w:t>1</w:t>
        </w:r>
        <w:r w:rsidRPr="00C04813">
          <w:rPr>
            <w:sz w:val="24"/>
            <w:szCs w:val="24"/>
          </w:rPr>
          <w:fldChar w:fldCharType="end"/>
        </w:r>
        <w:r w:rsidRPr="00C04813">
          <w:rPr>
            <w:sz w:val="24"/>
            <w:szCs w:val="24"/>
          </w:rPr>
          <w:t>/S20</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350BDA" w14:textId="77777777" w:rsidR="008D482A" w:rsidRDefault="008D482A" w:rsidP="00FE1DE9">
      <w:pPr>
        <w:spacing w:line="240" w:lineRule="auto"/>
      </w:pPr>
      <w:r>
        <w:separator/>
      </w:r>
    </w:p>
  </w:footnote>
  <w:footnote w:type="continuationSeparator" w:id="0">
    <w:p w14:paraId="06AA2F80" w14:textId="77777777" w:rsidR="008D482A" w:rsidRDefault="008D482A" w:rsidP="00FE1DE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84043A" w14:textId="2356151F" w:rsidR="00C04813" w:rsidRPr="00C04813" w:rsidRDefault="00590996">
    <w:pPr>
      <w:pStyle w:val="Header"/>
      <w:rPr>
        <w:sz w:val="24"/>
        <w:szCs w:val="24"/>
      </w:rPr>
    </w:pPr>
    <w:hyperlink r:id="rId1" w:history="1">
      <w:r w:rsidR="00C04813" w:rsidRPr="00C04813">
        <w:rPr>
          <w:rStyle w:val="Hyperlink"/>
          <w:rFonts w:hint="eastAsia"/>
          <w:sz w:val="24"/>
          <w:szCs w:val="24"/>
        </w:rPr>
        <w:t>N</w:t>
      </w:r>
      <w:r w:rsidR="00C04813" w:rsidRPr="00C04813">
        <w:rPr>
          <w:rStyle w:val="Hyperlink"/>
          <w:sz w:val="24"/>
          <w:szCs w:val="24"/>
        </w:rPr>
        <w:t>ano-Micro Letters</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C548F0"/>
    <w:multiLevelType w:val="hybridMultilevel"/>
    <w:tmpl w:val="A5A64772"/>
    <w:lvl w:ilvl="0" w:tplc="B0265890">
      <w:start w:val="1"/>
      <w:numFmt w:val="decimal"/>
      <w:lvlText w:val="[S%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defaultTabStop w:val="420"/>
  <w:drawingGridHorizontalSpacing w:val="120"/>
  <w:drawingGridVerticalSpacing w:val="163"/>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Layout" w:val="&lt;ENLayout&gt;&lt;Style&gt;Nano-Micro Letters Copy&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9xvwdvd9lfedarezwr7xr9030as5fvswx9ef&quot;&gt;Neoantigen vaccine&lt;record-ids&gt;&lt;item&gt;287&lt;/item&gt;&lt;item&gt;289&lt;/item&gt;&lt;item&gt;291&lt;/item&gt;&lt;/record-ids&gt;&lt;/item&gt;&lt;/Libraries&gt;"/>
  </w:docVars>
  <w:rsids>
    <w:rsidRoot w:val="003B04DB"/>
    <w:rsid w:val="000066CD"/>
    <w:rsid w:val="000073E9"/>
    <w:rsid w:val="00016F11"/>
    <w:rsid w:val="00043CBF"/>
    <w:rsid w:val="0005458C"/>
    <w:rsid w:val="00072BDE"/>
    <w:rsid w:val="00084EB3"/>
    <w:rsid w:val="000919EF"/>
    <w:rsid w:val="00093041"/>
    <w:rsid w:val="000A122A"/>
    <w:rsid w:val="000A513B"/>
    <w:rsid w:val="000B3436"/>
    <w:rsid w:val="001017B3"/>
    <w:rsid w:val="00104317"/>
    <w:rsid w:val="001203B3"/>
    <w:rsid w:val="00120876"/>
    <w:rsid w:val="001232DA"/>
    <w:rsid w:val="00137BEA"/>
    <w:rsid w:val="00146437"/>
    <w:rsid w:val="00180695"/>
    <w:rsid w:val="0019371F"/>
    <w:rsid w:val="001B0365"/>
    <w:rsid w:val="001B7AE4"/>
    <w:rsid w:val="001C2B09"/>
    <w:rsid w:val="001C48D1"/>
    <w:rsid w:val="001D4896"/>
    <w:rsid w:val="0020400D"/>
    <w:rsid w:val="00205EBB"/>
    <w:rsid w:val="002125B8"/>
    <w:rsid w:val="002143E2"/>
    <w:rsid w:val="00226ACA"/>
    <w:rsid w:val="002344CB"/>
    <w:rsid w:val="0024354A"/>
    <w:rsid w:val="0024502C"/>
    <w:rsid w:val="002462A9"/>
    <w:rsid w:val="002527C3"/>
    <w:rsid w:val="00266A32"/>
    <w:rsid w:val="00271178"/>
    <w:rsid w:val="00276938"/>
    <w:rsid w:val="002921D4"/>
    <w:rsid w:val="002A45DD"/>
    <w:rsid w:val="002D09AE"/>
    <w:rsid w:val="002F2164"/>
    <w:rsid w:val="00312334"/>
    <w:rsid w:val="00312EDB"/>
    <w:rsid w:val="003313A6"/>
    <w:rsid w:val="00342D57"/>
    <w:rsid w:val="00346FE4"/>
    <w:rsid w:val="0036650A"/>
    <w:rsid w:val="00373DAC"/>
    <w:rsid w:val="003748BF"/>
    <w:rsid w:val="0037690A"/>
    <w:rsid w:val="0038181B"/>
    <w:rsid w:val="003865D6"/>
    <w:rsid w:val="00393705"/>
    <w:rsid w:val="003962B0"/>
    <w:rsid w:val="003B04DB"/>
    <w:rsid w:val="00400529"/>
    <w:rsid w:val="004101C8"/>
    <w:rsid w:val="00413560"/>
    <w:rsid w:val="004166FF"/>
    <w:rsid w:val="00422DD9"/>
    <w:rsid w:val="004304C9"/>
    <w:rsid w:val="00436F7E"/>
    <w:rsid w:val="0045564B"/>
    <w:rsid w:val="00465320"/>
    <w:rsid w:val="004858F5"/>
    <w:rsid w:val="004A369E"/>
    <w:rsid w:val="004A48BD"/>
    <w:rsid w:val="004A7784"/>
    <w:rsid w:val="004B098E"/>
    <w:rsid w:val="004C4669"/>
    <w:rsid w:val="004D7A2D"/>
    <w:rsid w:val="004E33FE"/>
    <w:rsid w:val="004F2180"/>
    <w:rsid w:val="004F2D3E"/>
    <w:rsid w:val="00504C93"/>
    <w:rsid w:val="00505AF6"/>
    <w:rsid w:val="0052193E"/>
    <w:rsid w:val="005418C0"/>
    <w:rsid w:val="00545417"/>
    <w:rsid w:val="00553202"/>
    <w:rsid w:val="00554B83"/>
    <w:rsid w:val="00575105"/>
    <w:rsid w:val="005753B6"/>
    <w:rsid w:val="005820E1"/>
    <w:rsid w:val="005829B3"/>
    <w:rsid w:val="00590996"/>
    <w:rsid w:val="00596C36"/>
    <w:rsid w:val="005A13F0"/>
    <w:rsid w:val="005A3F93"/>
    <w:rsid w:val="005A72EF"/>
    <w:rsid w:val="005B2F55"/>
    <w:rsid w:val="005B31F3"/>
    <w:rsid w:val="005D663D"/>
    <w:rsid w:val="005E5781"/>
    <w:rsid w:val="006130D5"/>
    <w:rsid w:val="0064190F"/>
    <w:rsid w:val="00652E0D"/>
    <w:rsid w:val="00656921"/>
    <w:rsid w:val="006660F6"/>
    <w:rsid w:val="006846A9"/>
    <w:rsid w:val="00685351"/>
    <w:rsid w:val="006927D7"/>
    <w:rsid w:val="00692F6D"/>
    <w:rsid w:val="006A21BA"/>
    <w:rsid w:val="006B63BC"/>
    <w:rsid w:val="006C2DA4"/>
    <w:rsid w:val="006D0289"/>
    <w:rsid w:val="006E1FCB"/>
    <w:rsid w:val="006E25F8"/>
    <w:rsid w:val="006E4B3D"/>
    <w:rsid w:val="006F2061"/>
    <w:rsid w:val="007065F6"/>
    <w:rsid w:val="007113D9"/>
    <w:rsid w:val="00723344"/>
    <w:rsid w:val="0072509F"/>
    <w:rsid w:val="0073649E"/>
    <w:rsid w:val="00765FAC"/>
    <w:rsid w:val="00782891"/>
    <w:rsid w:val="007901AE"/>
    <w:rsid w:val="00791754"/>
    <w:rsid w:val="007924D2"/>
    <w:rsid w:val="00796C08"/>
    <w:rsid w:val="007C5EB3"/>
    <w:rsid w:val="00821F6E"/>
    <w:rsid w:val="0082302D"/>
    <w:rsid w:val="00825D45"/>
    <w:rsid w:val="008266D7"/>
    <w:rsid w:val="008323DC"/>
    <w:rsid w:val="00837B59"/>
    <w:rsid w:val="00841BFA"/>
    <w:rsid w:val="00851EF4"/>
    <w:rsid w:val="0086563C"/>
    <w:rsid w:val="00867378"/>
    <w:rsid w:val="008B364C"/>
    <w:rsid w:val="008B4673"/>
    <w:rsid w:val="008C4019"/>
    <w:rsid w:val="008C77B5"/>
    <w:rsid w:val="008D482A"/>
    <w:rsid w:val="008F31C1"/>
    <w:rsid w:val="009346CF"/>
    <w:rsid w:val="00945049"/>
    <w:rsid w:val="0095019A"/>
    <w:rsid w:val="00955463"/>
    <w:rsid w:val="00957046"/>
    <w:rsid w:val="009622F1"/>
    <w:rsid w:val="0097424F"/>
    <w:rsid w:val="009D4472"/>
    <w:rsid w:val="009F1CE2"/>
    <w:rsid w:val="00A10022"/>
    <w:rsid w:val="00A170DF"/>
    <w:rsid w:val="00A27FE2"/>
    <w:rsid w:val="00A351E7"/>
    <w:rsid w:val="00A352E7"/>
    <w:rsid w:val="00A368F1"/>
    <w:rsid w:val="00A43CA4"/>
    <w:rsid w:val="00A57BAD"/>
    <w:rsid w:val="00A73B52"/>
    <w:rsid w:val="00A77625"/>
    <w:rsid w:val="00A90445"/>
    <w:rsid w:val="00A91F62"/>
    <w:rsid w:val="00AA3154"/>
    <w:rsid w:val="00AB250D"/>
    <w:rsid w:val="00AB4FE4"/>
    <w:rsid w:val="00AC2F0E"/>
    <w:rsid w:val="00AC3D84"/>
    <w:rsid w:val="00AC626B"/>
    <w:rsid w:val="00AD71A5"/>
    <w:rsid w:val="00AD7E69"/>
    <w:rsid w:val="00AE669D"/>
    <w:rsid w:val="00AF0E38"/>
    <w:rsid w:val="00AF2B34"/>
    <w:rsid w:val="00B0438F"/>
    <w:rsid w:val="00B12AF5"/>
    <w:rsid w:val="00B3156C"/>
    <w:rsid w:val="00B54F5F"/>
    <w:rsid w:val="00B74177"/>
    <w:rsid w:val="00B76EBA"/>
    <w:rsid w:val="00B77D18"/>
    <w:rsid w:val="00BA3777"/>
    <w:rsid w:val="00BB5756"/>
    <w:rsid w:val="00BC242C"/>
    <w:rsid w:val="00BC51CE"/>
    <w:rsid w:val="00BD3542"/>
    <w:rsid w:val="00BE4304"/>
    <w:rsid w:val="00C01A39"/>
    <w:rsid w:val="00C04813"/>
    <w:rsid w:val="00C05734"/>
    <w:rsid w:val="00C12754"/>
    <w:rsid w:val="00C22C0C"/>
    <w:rsid w:val="00C24989"/>
    <w:rsid w:val="00C621C8"/>
    <w:rsid w:val="00C6725F"/>
    <w:rsid w:val="00C7248F"/>
    <w:rsid w:val="00C84D9A"/>
    <w:rsid w:val="00C9292D"/>
    <w:rsid w:val="00C93272"/>
    <w:rsid w:val="00CA02EC"/>
    <w:rsid w:val="00CB1557"/>
    <w:rsid w:val="00CD27A9"/>
    <w:rsid w:val="00CF1EF8"/>
    <w:rsid w:val="00D12B21"/>
    <w:rsid w:val="00D14B98"/>
    <w:rsid w:val="00D44372"/>
    <w:rsid w:val="00D47CB5"/>
    <w:rsid w:val="00D5662B"/>
    <w:rsid w:val="00D62687"/>
    <w:rsid w:val="00D74F65"/>
    <w:rsid w:val="00D76A33"/>
    <w:rsid w:val="00D82AB1"/>
    <w:rsid w:val="00D8476B"/>
    <w:rsid w:val="00DA2399"/>
    <w:rsid w:val="00DA467D"/>
    <w:rsid w:val="00DB7C44"/>
    <w:rsid w:val="00DC61C7"/>
    <w:rsid w:val="00DD053D"/>
    <w:rsid w:val="00DE5A80"/>
    <w:rsid w:val="00DF3110"/>
    <w:rsid w:val="00DF3C75"/>
    <w:rsid w:val="00E02595"/>
    <w:rsid w:val="00E07349"/>
    <w:rsid w:val="00E10C1D"/>
    <w:rsid w:val="00E2020C"/>
    <w:rsid w:val="00E25199"/>
    <w:rsid w:val="00E45548"/>
    <w:rsid w:val="00E553A1"/>
    <w:rsid w:val="00E91465"/>
    <w:rsid w:val="00EA049B"/>
    <w:rsid w:val="00EA2109"/>
    <w:rsid w:val="00EB2FE2"/>
    <w:rsid w:val="00EB620E"/>
    <w:rsid w:val="00EC12E3"/>
    <w:rsid w:val="00ED371C"/>
    <w:rsid w:val="00ED4C6F"/>
    <w:rsid w:val="00ED64AA"/>
    <w:rsid w:val="00EE1E62"/>
    <w:rsid w:val="00F06FAF"/>
    <w:rsid w:val="00F40D13"/>
    <w:rsid w:val="00F42670"/>
    <w:rsid w:val="00F650F2"/>
    <w:rsid w:val="00F65176"/>
    <w:rsid w:val="00F71DA8"/>
    <w:rsid w:val="00F75F77"/>
    <w:rsid w:val="00F8587E"/>
    <w:rsid w:val="00F87862"/>
    <w:rsid w:val="00F90ED3"/>
    <w:rsid w:val="00FB1408"/>
    <w:rsid w:val="00FC061B"/>
    <w:rsid w:val="00FD37D1"/>
    <w:rsid w:val="00FD4835"/>
    <w:rsid w:val="00FE1DE9"/>
    <w:rsid w:val="00FE2276"/>
    <w:rsid w:val="00FF0C66"/>
    <w:rsid w:val="00FF72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3D162AA"/>
  <w15:chartTrackingRefBased/>
  <w15:docId w15:val="{6472B54C-C0A2-4949-93C4-6D57FC1D1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27C3"/>
    <w:pPr>
      <w:widowControl w:val="0"/>
      <w:spacing w:after="0" w:line="360" w:lineRule="auto"/>
    </w:pPr>
    <w:rPr>
      <w:rFonts w:ascii="Times New Roman" w:eastAsia="SimSun" w:hAnsi="Times New Roman"/>
      <w:sz w:val="24"/>
    </w:rPr>
  </w:style>
  <w:style w:type="paragraph" w:styleId="Heading1">
    <w:name w:val="heading 1"/>
    <w:basedOn w:val="Normal"/>
    <w:next w:val="Normal"/>
    <w:link w:val="Heading1Char"/>
    <w:uiPriority w:val="9"/>
    <w:qFormat/>
    <w:rsid w:val="003B04DB"/>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Heading2">
    <w:name w:val="heading 2"/>
    <w:basedOn w:val="Normal"/>
    <w:next w:val="Normal"/>
    <w:link w:val="Heading2Char"/>
    <w:uiPriority w:val="9"/>
    <w:semiHidden/>
    <w:unhideWhenUsed/>
    <w:qFormat/>
    <w:rsid w:val="003B04DB"/>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link w:val="Heading3Char"/>
    <w:uiPriority w:val="9"/>
    <w:semiHidden/>
    <w:unhideWhenUsed/>
    <w:qFormat/>
    <w:rsid w:val="003B04DB"/>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Heading4">
    <w:name w:val="heading 4"/>
    <w:basedOn w:val="Normal"/>
    <w:next w:val="Normal"/>
    <w:link w:val="Heading4Char"/>
    <w:uiPriority w:val="9"/>
    <w:semiHidden/>
    <w:unhideWhenUsed/>
    <w:qFormat/>
    <w:rsid w:val="003B04DB"/>
    <w:pPr>
      <w:keepNext/>
      <w:keepLines/>
      <w:spacing w:before="80" w:after="40"/>
      <w:outlineLvl w:val="3"/>
    </w:pPr>
    <w:rPr>
      <w:rFonts w:asciiTheme="minorHAnsi" w:eastAsiaTheme="minorEastAsia" w:hAnsiTheme="minorHAnsi" w:cstheme="majorBidi"/>
      <w:color w:val="0F4761" w:themeColor="accent1" w:themeShade="BF"/>
      <w:sz w:val="28"/>
      <w:szCs w:val="28"/>
    </w:rPr>
  </w:style>
  <w:style w:type="paragraph" w:styleId="Heading5">
    <w:name w:val="heading 5"/>
    <w:basedOn w:val="Normal"/>
    <w:next w:val="Normal"/>
    <w:link w:val="Heading5Char"/>
    <w:uiPriority w:val="9"/>
    <w:semiHidden/>
    <w:unhideWhenUsed/>
    <w:qFormat/>
    <w:rsid w:val="003B04DB"/>
    <w:pPr>
      <w:keepNext/>
      <w:keepLines/>
      <w:spacing w:before="80" w:after="40"/>
      <w:outlineLvl w:val="4"/>
    </w:pPr>
    <w:rPr>
      <w:rFonts w:asciiTheme="minorHAnsi" w:eastAsiaTheme="min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B04DB"/>
    <w:pPr>
      <w:keepNext/>
      <w:keepLines/>
      <w:spacing w:before="40"/>
      <w:outlineLvl w:val="5"/>
    </w:pPr>
    <w:rPr>
      <w:rFonts w:asciiTheme="minorHAnsi" w:eastAsiaTheme="minorEastAsia" w:hAnsiTheme="minorHAnsi" w:cstheme="majorBidi"/>
      <w:b/>
      <w:bCs/>
      <w:color w:val="0F4761" w:themeColor="accent1" w:themeShade="BF"/>
    </w:rPr>
  </w:style>
  <w:style w:type="paragraph" w:styleId="Heading7">
    <w:name w:val="heading 7"/>
    <w:basedOn w:val="Normal"/>
    <w:next w:val="Normal"/>
    <w:link w:val="Heading7Char"/>
    <w:uiPriority w:val="9"/>
    <w:semiHidden/>
    <w:unhideWhenUsed/>
    <w:qFormat/>
    <w:rsid w:val="003B04DB"/>
    <w:pPr>
      <w:keepNext/>
      <w:keepLines/>
      <w:spacing w:before="40"/>
      <w:outlineLvl w:val="6"/>
    </w:pPr>
    <w:rPr>
      <w:rFonts w:asciiTheme="minorHAnsi" w:eastAsiaTheme="minorEastAsia" w:hAnsiTheme="minorHAnsi" w:cstheme="majorBidi"/>
      <w:b/>
      <w:bCs/>
      <w:color w:val="595959" w:themeColor="text1" w:themeTint="A6"/>
    </w:rPr>
  </w:style>
  <w:style w:type="paragraph" w:styleId="Heading8">
    <w:name w:val="heading 8"/>
    <w:basedOn w:val="Normal"/>
    <w:next w:val="Normal"/>
    <w:link w:val="Heading8Char"/>
    <w:uiPriority w:val="9"/>
    <w:semiHidden/>
    <w:unhideWhenUsed/>
    <w:qFormat/>
    <w:rsid w:val="003B04DB"/>
    <w:pPr>
      <w:keepNext/>
      <w:keepLines/>
      <w:outlineLvl w:val="7"/>
    </w:pPr>
    <w:rPr>
      <w:rFonts w:asciiTheme="minorHAnsi" w:eastAsiaTheme="minorEastAsia" w:hAnsiTheme="minorHAnsi" w:cstheme="majorBidi"/>
      <w:color w:val="595959" w:themeColor="text1" w:themeTint="A6"/>
    </w:rPr>
  </w:style>
  <w:style w:type="paragraph" w:styleId="Heading9">
    <w:name w:val="heading 9"/>
    <w:basedOn w:val="Normal"/>
    <w:next w:val="Normal"/>
    <w:link w:val="Heading9Char"/>
    <w:uiPriority w:val="9"/>
    <w:semiHidden/>
    <w:unhideWhenUsed/>
    <w:qFormat/>
    <w:rsid w:val="003B04DB"/>
    <w:pPr>
      <w:keepNext/>
      <w:keepLines/>
      <w:outlineLvl w:val="8"/>
    </w:pPr>
    <w:rPr>
      <w:rFonts w:asciiTheme="minorHAnsi" w:eastAsiaTheme="majorEastAsia" w:hAnsiTheme="minorHAnsi" w:cstheme="majorBidi"/>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04DB"/>
    <w:rPr>
      <w:rFonts w:asciiTheme="majorHAnsi" w:eastAsiaTheme="majorEastAsia" w:hAnsiTheme="majorHAnsi" w:cstheme="majorBidi"/>
      <w:color w:val="0F4761" w:themeColor="accent1" w:themeShade="BF"/>
      <w:sz w:val="48"/>
      <w:szCs w:val="48"/>
    </w:rPr>
  </w:style>
  <w:style w:type="character" w:customStyle="1" w:styleId="Heading2Char">
    <w:name w:val="Heading 2 Char"/>
    <w:basedOn w:val="DefaultParagraphFont"/>
    <w:link w:val="Heading2"/>
    <w:uiPriority w:val="9"/>
    <w:semiHidden/>
    <w:rsid w:val="003B04DB"/>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3B04DB"/>
    <w:rPr>
      <w:rFonts w:asciiTheme="majorHAnsi" w:eastAsiaTheme="majorEastAsia" w:hAnsiTheme="majorHAnsi" w:cstheme="majorBidi"/>
      <w:color w:val="0F4761" w:themeColor="accent1" w:themeShade="BF"/>
      <w:sz w:val="32"/>
      <w:szCs w:val="32"/>
    </w:rPr>
  </w:style>
  <w:style w:type="character" w:customStyle="1" w:styleId="Heading4Char">
    <w:name w:val="Heading 4 Char"/>
    <w:basedOn w:val="DefaultParagraphFont"/>
    <w:link w:val="Heading4"/>
    <w:uiPriority w:val="9"/>
    <w:semiHidden/>
    <w:rsid w:val="003B04DB"/>
    <w:rPr>
      <w:rFonts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3B04DB"/>
    <w:rPr>
      <w:rFonts w:cstheme="majorBidi"/>
      <w:color w:val="0F4761" w:themeColor="accent1" w:themeShade="BF"/>
      <w:sz w:val="24"/>
    </w:rPr>
  </w:style>
  <w:style w:type="character" w:customStyle="1" w:styleId="Heading6Char">
    <w:name w:val="Heading 6 Char"/>
    <w:basedOn w:val="DefaultParagraphFont"/>
    <w:link w:val="Heading6"/>
    <w:uiPriority w:val="9"/>
    <w:semiHidden/>
    <w:rsid w:val="003B04DB"/>
    <w:rPr>
      <w:rFonts w:cstheme="majorBidi"/>
      <w:b/>
      <w:bCs/>
      <w:color w:val="0F4761" w:themeColor="accent1" w:themeShade="BF"/>
      <w:sz w:val="24"/>
    </w:rPr>
  </w:style>
  <w:style w:type="character" w:customStyle="1" w:styleId="Heading7Char">
    <w:name w:val="Heading 7 Char"/>
    <w:basedOn w:val="DefaultParagraphFont"/>
    <w:link w:val="Heading7"/>
    <w:uiPriority w:val="9"/>
    <w:semiHidden/>
    <w:rsid w:val="003B04DB"/>
    <w:rPr>
      <w:rFonts w:cstheme="majorBidi"/>
      <w:b/>
      <w:bCs/>
      <w:color w:val="595959" w:themeColor="text1" w:themeTint="A6"/>
      <w:sz w:val="24"/>
    </w:rPr>
  </w:style>
  <w:style w:type="character" w:customStyle="1" w:styleId="Heading8Char">
    <w:name w:val="Heading 8 Char"/>
    <w:basedOn w:val="DefaultParagraphFont"/>
    <w:link w:val="Heading8"/>
    <w:uiPriority w:val="9"/>
    <w:semiHidden/>
    <w:rsid w:val="003B04DB"/>
    <w:rPr>
      <w:rFonts w:cstheme="majorBidi"/>
      <w:color w:val="595959" w:themeColor="text1" w:themeTint="A6"/>
      <w:sz w:val="24"/>
    </w:rPr>
  </w:style>
  <w:style w:type="character" w:customStyle="1" w:styleId="Heading9Char">
    <w:name w:val="Heading 9 Char"/>
    <w:basedOn w:val="DefaultParagraphFont"/>
    <w:link w:val="Heading9"/>
    <w:uiPriority w:val="9"/>
    <w:semiHidden/>
    <w:rsid w:val="003B04DB"/>
    <w:rPr>
      <w:rFonts w:eastAsiaTheme="majorEastAsia" w:cstheme="majorBidi"/>
      <w:color w:val="595959" w:themeColor="text1" w:themeTint="A6"/>
      <w:sz w:val="24"/>
    </w:rPr>
  </w:style>
  <w:style w:type="paragraph" w:styleId="Title">
    <w:name w:val="Title"/>
    <w:basedOn w:val="Normal"/>
    <w:next w:val="Normal"/>
    <w:link w:val="TitleChar"/>
    <w:uiPriority w:val="10"/>
    <w:qFormat/>
    <w:rsid w:val="003B04DB"/>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04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04DB"/>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04DB"/>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3B04D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B04DB"/>
    <w:rPr>
      <w:rFonts w:ascii="Times New Roman" w:eastAsia="SimSun" w:hAnsi="Times New Roman"/>
      <w:i/>
      <w:iCs/>
      <w:color w:val="404040" w:themeColor="text1" w:themeTint="BF"/>
      <w:sz w:val="24"/>
    </w:rPr>
  </w:style>
  <w:style w:type="paragraph" w:styleId="ListParagraph">
    <w:name w:val="List Paragraph"/>
    <w:basedOn w:val="Normal"/>
    <w:uiPriority w:val="34"/>
    <w:qFormat/>
    <w:rsid w:val="003B04DB"/>
    <w:pPr>
      <w:ind w:left="720"/>
      <w:contextualSpacing/>
    </w:pPr>
  </w:style>
  <w:style w:type="character" w:styleId="IntenseEmphasis">
    <w:name w:val="Intense Emphasis"/>
    <w:basedOn w:val="DefaultParagraphFont"/>
    <w:uiPriority w:val="21"/>
    <w:qFormat/>
    <w:rsid w:val="003B04DB"/>
    <w:rPr>
      <w:i/>
      <w:iCs/>
      <w:color w:val="0F4761" w:themeColor="accent1" w:themeShade="BF"/>
    </w:rPr>
  </w:style>
  <w:style w:type="paragraph" w:styleId="IntenseQuote">
    <w:name w:val="Intense Quote"/>
    <w:basedOn w:val="Normal"/>
    <w:next w:val="Normal"/>
    <w:link w:val="IntenseQuoteChar"/>
    <w:uiPriority w:val="30"/>
    <w:qFormat/>
    <w:rsid w:val="003B04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04DB"/>
    <w:rPr>
      <w:rFonts w:ascii="Times New Roman" w:eastAsia="SimSun" w:hAnsi="Times New Roman"/>
      <w:i/>
      <w:iCs/>
      <w:color w:val="0F4761" w:themeColor="accent1" w:themeShade="BF"/>
      <w:sz w:val="24"/>
    </w:rPr>
  </w:style>
  <w:style w:type="character" w:styleId="IntenseReference">
    <w:name w:val="Intense Reference"/>
    <w:basedOn w:val="DefaultParagraphFont"/>
    <w:uiPriority w:val="32"/>
    <w:qFormat/>
    <w:rsid w:val="003B04DB"/>
    <w:rPr>
      <w:b/>
      <w:bCs/>
      <w:smallCaps/>
      <w:color w:val="0F4761" w:themeColor="accent1" w:themeShade="BF"/>
      <w:spacing w:val="5"/>
    </w:rPr>
  </w:style>
  <w:style w:type="paragraph" w:styleId="Header">
    <w:name w:val="header"/>
    <w:basedOn w:val="Normal"/>
    <w:link w:val="HeaderChar"/>
    <w:uiPriority w:val="99"/>
    <w:unhideWhenUsed/>
    <w:rsid w:val="00FE1DE9"/>
    <w:pPr>
      <w:tabs>
        <w:tab w:val="center" w:pos="4153"/>
        <w:tab w:val="right" w:pos="8306"/>
      </w:tabs>
      <w:snapToGrid w:val="0"/>
      <w:spacing w:line="240" w:lineRule="auto"/>
      <w:jc w:val="center"/>
    </w:pPr>
    <w:rPr>
      <w:sz w:val="18"/>
      <w:szCs w:val="18"/>
    </w:rPr>
  </w:style>
  <w:style w:type="character" w:customStyle="1" w:styleId="HeaderChar">
    <w:name w:val="Header Char"/>
    <w:basedOn w:val="DefaultParagraphFont"/>
    <w:link w:val="Header"/>
    <w:uiPriority w:val="99"/>
    <w:rsid w:val="00FE1DE9"/>
    <w:rPr>
      <w:rFonts w:ascii="Times New Roman" w:eastAsia="SimSun" w:hAnsi="Times New Roman"/>
      <w:sz w:val="18"/>
      <w:szCs w:val="18"/>
    </w:rPr>
  </w:style>
  <w:style w:type="paragraph" w:styleId="Footer">
    <w:name w:val="footer"/>
    <w:basedOn w:val="Normal"/>
    <w:link w:val="FooterChar"/>
    <w:uiPriority w:val="99"/>
    <w:unhideWhenUsed/>
    <w:rsid w:val="00FE1DE9"/>
    <w:pPr>
      <w:tabs>
        <w:tab w:val="center" w:pos="4153"/>
        <w:tab w:val="right" w:pos="8306"/>
      </w:tabs>
      <w:snapToGrid w:val="0"/>
      <w:spacing w:line="240" w:lineRule="auto"/>
    </w:pPr>
    <w:rPr>
      <w:sz w:val="18"/>
      <w:szCs w:val="18"/>
    </w:rPr>
  </w:style>
  <w:style w:type="character" w:customStyle="1" w:styleId="FooterChar">
    <w:name w:val="Footer Char"/>
    <w:basedOn w:val="DefaultParagraphFont"/>
    <w:link w:val="Footer"/>
    <w:uiPriority w:val="99"/>
    <w:rsid w:val="00FE1DE9"/>
    <w:rPr>
      <w:rFonts w:ascii="Times New Roman" w:eastAsia="SimSun" w:hAnsi="Times New Roman"/>
      <w:sz w:val="18"/>
      <w:szCs w:val="18"/>
    </w:rPr>
  </w:style>
  <w:style w:type="paragraph" w:customStyle="1" w:styleId="EndNoteBibliographyTitle">
    <w:name w:val="EndNote Bibliography Title"/>
    <w:basedOn w:val="Normal"/>
    <w:link w:val="EndNoteBibliographyTitle0"/>
    <w:rsid w:val="00A43CA4"/>
    <w:pPr>
      <w:jc w:val="center"/>
    </w:pPr>
    <w:rPr>
      <w:rFonts w:cs="Times New Roman"/>
      <w:noProof/>
    </w:rPr>
  </w:style>
  <w:style w:type="character" w:customStyle="1" w:styleId="EndNoteBibliographyTitle0">
    <w:name w:val="EndNote Bibliography Title 字符"/>
    <w:basedOn w:val="DefaultParagraphFont"/>
    <w:link w:val="EndNoteBibliographyTitle"/>
    <w:rsid w:val="00A43CA4"/>
    <w:rPr>
      <w:rFonts w:ascii="Times New Roman" w:eastAsia="SimSun" w:hAnsi="Times New Roman" w:cs="Times New Roman"/>
      <w:noProof/>
      <w:sz w:val="24"/>
    </w:rPr>
  </w:style>
  <w:style w:type="paragraph" w:customStyle="1" w:styleId="EndNoteBibliography">
    <w:name w:val="EndNote Bibliography"/>
    <w:basedOn w:val="Normal"/>
    <w:link w:val="EndNoteBibliography0"/>
    <w:rsid w:val="00A43CA4"/>
    <w:pPr>
      <w:spacing w:line="240" w:lineRule="auto"/>
      <w:jc w:val="both"/>
    </w:pPr>
    <w:rPr>
      <w:rFonts w:cs="Times New Roman"/>
      <w:noProof/>
    </w:rPr>
  </w:style>
  <w:style w:type="character" w:customStyle="1" w:styleId="EndNoteBibliography0">
    <w:name w:val="EndNote Bibliography 字符"/>
    <w:basedOn w:val="DefaultParagraphFont"/>
    <w:link w:val="EndNoteBibliography"/>
    <w:rsid w:val="00A43CA4"/>
    <w:rPr>
      <w:rFonts w:ascii="Times New Roman" w:eastAsia="SimSun" w:hAnsi="Times New Roman" w:cs="Times New Roman"/>
      <w:noProof/>
      <w:sz w:val="24"/>
    </w:rPr>
  </w:style>
  <w:style w:type="paragraph" w:customStyle="1" w:styleId="BATitle">
    <w:name w:val="BA_Title"/>
    <w:basedOn w:val="Normal"/>
    <w:next w:val="Normal"/>
    <w:rsid w:val="00505AF6"/>
    <w:pPr>
      <w:widowControl/>
      <w:spacing w:before="720" w:after="360" w:line="480" w:lineRule="auto"/>
      <w:jc w:val="center"/>
    </w:pPr>
    <w:rPr>
      <w:rFonts w:cs="Times New Roman"/>
      <w:kern w:val="0"/>
      <w:sz w:val="44"/>
      <w:szCs w:val="20"/>
      <w:lang w:eastAsia="en-US"/>
      <w14:ligatures w14:val="none"/>
    </w:rPr>
  </w:style>
  <w:style w:type="character" w:styleId="Hyperlink">
    <w:name w:val="Hyperlink"/>
    <w:basedOn w:val="DefaultParagraphFont"/>
    <w:uiPriority w:val="99"/>
    <w:unhideWhenUsed/>
    <w:rsid w:val="00465320"/>
    <w:rPr>
      <w:color w:val="467886" w:themeColor="hyperlink"/>
      <w:u w:val="single"/>
    </w:rPr>
  </w:style>
  <w:style w:type="character" w:customStyle="1" w:styleId="UnresolvedMention">
    <w:name w:val="Unresolved Mention"/>
    <w:basedOn w:val="DefaultParagraphFont"/>
    <w:uiPriority w:val="99"/>
    <w:semiHidden/>
    <w:unhideWhenUsed/>
    <w:rsid w:val="00465320"/>
    <w:rPr>
      <w:color w:val="605E5C"/>
      <w:shd w:val="clear" w:color="auto" w:fill="E1DFDD"/>
    </w:rPr>
  </w:style>
  <w:style w:type="paragraph" w:styleId="NormalWeb">
    <w:name w:val="Normal (Web)"/>
    <w:basedOn w:val="Normal"/>
    <w:uiPriority w:val="99"/>
    <w:semiHidden/>
    <w:unhideWhenUsed/>
    <w:rsid w:val="00BB575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tiff"/><Relationship Id="rId18" Type="http://schemas.openxmlformats.org/officeDocument/2006/relationships/image" Target="media/image7.tiff"/><Relationship Id="rId26" Type="http://schemas.openxmlformats.org/officeDocument/2006/relationships/image" Target="media/image15.tiff"/><Relationship Id="rId39" Type="http://schemas.openxmlformats.org/officeDocument/2006/relationships/fontTable" Target="fontTable.xml"/><Relationship Id="rId21" Type="http://schemas.openxmlformats.org/officeDocument/2006/relationships/image" Target="media/image10.tiff"/><Relationship Id="rId34" Type="http://schemas.openxmlformats.org/officeDocument/2006/relationships/hyperlink" Target="https://doi.org/10.1016/j.fmre.2025.04.015" TargetMode="External"/><Relationship Id="rId7" Type="http://schemas.openxmlformats.org/officeDocument/2006/relationships/endnotes" Target="endnotes.xml"/><Relationship Id="rId12" Type="http://schemas.openxmlformats.org/officeDocument/2006/relationships/image" Target="media/image1.tiff"/><Relationship Id="rId17" Type="http://schemas.openxmlformats.org/officeDocument/2006/relationships/image" Target="media/image6.tiff"/><Relationship Id="rId25" Type="http://schemas.openxmlformats.org/officeDocument/2006/relationships/image" Target="media/image14.tiff"/><Relationship Id="rId33" Type="http://schemas.openxmlformats.org/officeDocument/2006/relationships/image" Target="media/image22.tiff"/><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tiff"/><Relationship Id="rId20" Type="http://schemas.openxmlformats.org/officeDocument/2006/relationships/image" Target="media/image9.tiff"/><Relationship Id="rId29" Type="http://schemas.openxmlformats.org/officeDocument/2006/relationships/image" Target="media/image18.tif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wmmj0419@163.com" TargetMode="External"/><Relationship Id="rId24" Type="http://schemas.openxmlformats.org/officeDocument/2006/relationships/image" Target="media/image13.tiff"/><Relationship Id="rId32" Type="http://schemas.openxmlformats.org/officeDocument/2006/relationships/image" Target="media/image21.tiff"/><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tiff"/><Relationship Id="rId23" Type="http://schemas.openxmlformats.org/officeDocument/2006/relationships/image" Target="media/image12.tiff"/><Relationship Id="rId28" Type="http://schemas.openxmlformats.org/officeDocument/2006/relationships/image" Target="media/image17.tiff"/><Relationship Id="rId36" Type="http://schemas.openxmlformats.org/officeDocument/2006/relationships/hyperlink" Target="https://doi.org/10.1021/acsami.3c18140" TargetMode="External"/><Relationship Id="rId10" Type="http://schemas.openxmlformats.org/officeDocument/2006/relationships/hyperlink" Target="mailto:xiaoloong.liu@gmail.com" TargetMode="External"/><Relationship Id="rId19" Type="http://schemas.openxmlformats.org/officeDocument/2006/relationships/image" Target="media/image8.tiff"/><Relationship Id="rId31" Type="http://schemas.openxmlformats.org/officeDocument/2006/relationships/image" Target="media/image20.tiff"/><Relationship Id="rId4" Type="http://schemas.openxmlformats.org/officeDocument/2006/relationships/settings" Target="settings.xml"/><Relationship Id="rId9" Type="http://schemas.openxmlformats.org/officeDocument/2006/relationships/hyperlink" Target="mailto:wangyy@nxmu.edu.cn" TargetMode="External"/><Relationship Id="rId14" Type="http://schemas.openxmlformats.org/officeDocument/2006/relationships/image" Target="media/image3.tiff"/><Relationship Id="rId22" Type="http://schemas.openxmlformats.org/officeDocument/2006/relationships/image" Target="media/image11.tiff"/><Relationship Id="rId27" Type="http://schemas.openxmlformats.org/officeDocument/2006/relationships/image" Target="media/image16.tiff"/><Relationship Id="rId30" Type="http://schemas.openxmlformats.org/officeDocument/2006/relationships/image" Target="media/image19.tiff"/><Relationship Id="rId35" Type="http://schemas.openxmlformats.org/officeDocument/2006/relationships/hyperlink" Target="https://doi.org/10.1002/adhm.202302549" TargetMode="External"/><Relationship Id="rId8" Type="http://schemas.openxmlformats.org/officeDocument/2006/relationships/hyperlink" Target="mailto:lxy.1210@163.co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hyperlink" Target="http://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003ECB-6E3C-468B-BDEB-ED5FC8FA6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20</Pages>
  <Words>4596</Words>
  <Characters>28051</Characters>
  <Application>Microsoft Office Word</Application>
  <DocSecurity>0</DocSecurity>
  <Lines>233</Lines>
  <Paragraphs>65</Paragraphs>
  <ScaleCrop>false</ScaleCrop>
  <Company/>
  <LinksUpToDate>false</LinksUpToDate>
  <CharactersWithSpaces>32582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Xinyi Lin</dc:creator>
  <cp:keywords/>
  <dc:description/>
  <cp:lastModifiedBy>Archana S</cp:lastModifiedBy>
  <cp:revision>6</cp:revision>
  <dcterms:created xsi:type="dcterms:W3CDTF">2026-07-08T06:47:00Z</dcterms:created>
  <dcterms:modified xsi:type="dcterms:W3CDTF">2026-07-22T09:06:00Z</dcterms:modified>
</cp:coreProperties>
</file>