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39274" w14:textId="77777777" w:rsidR="000C2399" w:rsidRDefault="00753684" w:rsidP="00533892">
      <w:pPr>
        <w:widowControl/>
        <w:spacing w:before="120" w:after="120"/>
        <w:rPr>
          <w:rFonts w:ascii="Times New Roman" w:hAnsi="Times New Roman" w:cs="Times New Roman"/>
          <w:color w:val="000000" w:themeColor="text1"/>
        </w:rPr>
      </w:pPr>
      <w:bookmarkStart w:id="0" w:name="_Hlk160704635"/>
      <w:bookmarkEnd w:id="0"/>
      <w:r>
        <w:rPr>
          <w:rFonts w:ascii="Times New Roman" w:eastAsia="MS Mincho" w:hAnsi="Times New Roman" w:cs="Times New Roman"/>
          <w:color w:val="000000" w:themeColor="text1"/>
          <w:kern w:val="0"/>
          <w:sz w:val="24"/>
          <w:lang w:eastAsia="ja-JP"/>
        </w:rPr>
        <w:t>Supporting Information</w:t>
      </w:r>
      <w:r>
        <w:rPr>
          <w:rFonts w:ascii="Times New Roman" w:eastAsia="等线" w:hAnsi="Times New Roman" w:cs="Times New Roman"/>
          <w:color w:val="000000" w:themeColor="text1"/>
          <w:kern w:val="0"/>
          <w:sz w:val="24"/>
        </w:rPr>
        <w:t xml:space="preserve"> For</w:t>
      </w:r>
    </w:p>
    <w:p w14:paraId="47D4C823" w14:textId="77777777" w:rsidR="00533892" w:rsidRPr="00EB3E36" w:rsidRDefault="00533892" w:rsidP="00533892">
      <w:pPr>
        <w:spacing w:before="120" w:after="120"/>
        <w:jc w:val="left"/>
        <w:rPr>
          <w:rFonts w:ascii="Times New Roman" w:hAnsi="Times New Roman"/>
          <w:b/>
          <w:bCs/>
          <w:color w:val="000000"/>
          <w:sz w:val="28"/>
          <w:szCs w:val="28"/>
        </w:rPr>
      </w:pPr>
      <w:bookmarkStart w:id="1" w:name="_Hlk160285972"/>
      <w:r w:rsidRPr="00EB3E36">
        <w:rPr>
          <w:rFonts w:ascii="Times New Roman" w:hAnsi="Times New Roman" w:hint="eastAsia"/>
          <w:b/>
          <w:bCs/>
          <w:color w:val="000000"/>
          <w:sz w:val="28"/>
          <w:szCs w:val="28"/>
        </w:rPr>
        <w:t xml:space="preserve">Bolstered </w:t>
      </w:r>
      <w:r w:rsidRPr="00EB3E36">
        <w:rPr>
          <w:rFonts w:ascii="Times New Roman" w:hAnsi="Times New Roman"/>
          <w:b/>
          <w:bCs/>
          <w:color w:val="000000"/>
          <w:sz w:val="28"/>
          <w:szCs w:val="28"/>
        </w:rPr>
        <w:t>Interfacial</w:t>
      </w:r>
      <w:r w:rsidRPr="00EB3E36">
        <w:rPr>
          <w:rFonts w:ascii="Times New Roman" w:hAnsi="Times New Roman" w:hint="eastAsia"/>
          <w:b/>
          <w:bCs/>
          <w:color w:val="000000"/>
          <w:sz w:val="28"/>
          <w:szCs w:val="28"/>
        </w:rPr>
        <w:t xml:space="preserve"> Field </w:t>
      </w:r>
      <w:r w:rsidRPr="00EB3E36">
        <w:rPr>
          <w:rFonts w:ascii="Times New Roman" w:hAnsi="Times New Roman"/>
          <w:b/>
          <w:bCs/>
          <w:color w:val="000000"/>
          <w:sz w:val="28"/>
          <w:szCs w:val="28"/>
        </w:rPr>
        <w:t>Chemistry for Deep Fast-Charging Aqueous Zinc Metal Batteries</w:t>
      </w:r>
    </w:p>
    <w:p w14:paraId="490EB623" w14:textId="77777777" w:rsidR="00533892" w:rsidRPr="00EB3E36" w:rsidRDefault="00533892" w:rsidP="00533892">
      <w:pPr>
        <w:spacing w:before="120" w:after="120"/>
        <w:jc w:val="left"/>
        <w:rPr>
          <w:rFonts w:ascii="Times New Roman" w:hAnsi="Times New Roman"/>
          <w:color w:val="000000"/>
          <w:sz w:val="24"/>
          <w:vertAlign w:val="superscript"/>
        </w:rPr>
      </w:pPr>
      <w:proofErr w:type="spellStart"/>
      <w:r w:rsidRPr="00EB3E36">
        <w:rPr>
          <w:rFonts w:ascii="Times New Roman" w:hAnsi="Times New Roman" w:hint="eastAsia"/>
          <w:color w:val="000000"/>
          <w:sz w:val="24"/>
        </w:rPr>
        <w:t>Minxi</w:t>
      </w:r>
      <w:proofErr w:type="spellEnd"/>
      <w:r w:rsidRPr="00EB3E36">
        <w:rPr>
          <w:rFonts w:ascii="Times New Roman" w:hAnsi="Times New Roman" w:hint="eastAsia"/>
          <w:color w:val="000000"/>
          <w:sz w:val="24"/>
        </w:rPr>
        <w:t xml:space="preserve"> Sun</w:t>
      </w:r>
      <w:r w:rsidRPr="00EB3E36">
        <w:rPr>
          <w:rFonts w:ascii="Times New Roman" w:hAnsi="Times New Roman" w:hint="eastAsia"/>
          <w:color w:val="000000"/>
          <w:sz w:val="24"/>
          <w:vertAlign w:val="superscript"/>
        </w:rPr>
        <w:t>1, #</w:t>
      </w:r>
      <w:r w:rsidRPr="00EB3E36">
        <w:rPr>
          <w:rFonts w:ascii="Times New Roman" w:hAnsi="Times New Roman" w:hint="eastAsia"/>
          <w:color w:val="000000"/>
          <w:sz w:val="24"/>
        </w:rPr>
        <w:t xml:space="preserve">, </w:t>
      </w:r>
      <w:proofErr w:type="spellStart"/>
      <w:r w:rsidRPr="00EB3E36">
        <w:rPr>
          <w:rFonts w:ascii="Times New Roman" w:hAnsi="Times New Roman" w:hint="eastAsia"/>
          <w:color w:val="000000"/>
          <w:sz w:val="24"/>
        </w:rPr>
        <w:t>Yining</w:t>
      </w:r>
      <w:proofErr w:type="spellEnd"/>
      <w:r w:rsidRPr="00EB3E36">
        <w:rPr>
          <w:rFonts w:ascii="Times New Roman" w:hAnsi="Times New Roman" w:hint="eastAsia"/>
          <w:color w:val="000000"/>
          <w:sz w:val="24"/>
        </w:rPr>
        <w:t xml:space="preserve"> Chen</w:t>
      </w:r>
      <w:r w:rsidRPr="00EB3E36">
        <w:rPr>
          <w:rFonts w:ascii="Times New Roman" w:hAnsi="Times New Roman" w:hint="eastAsia"/>
          <w:color w:val="000000"/>
          <w:sz w:val="24"/>
          <w:vertAlign w:val="superscript"/>
        </w:rPr>
        <w:t>1, #</w:t>
      </w:r>
      <w:r w:rsidRPr="00EB3E36">
        <w:rPr>
          <w:rFonts w:ascii="Times New Roman" w:hAnsi="Times New Roman" w:hint="eastAsia"/>
          <w:color w:val="000000"/>
          <w:sz w:val="24"/>
        </w:rPr>
        <w:t xml:space="preserve">, </w:t>
      </w:r>
      <w:proofErr w:type="spellStart"/>
      <w:r w:rsidRPr="00EB3E36">
        <w:rPr>
          <w:rFonts w:ascii="Times New Roman" w:hAnsi="Times New Roman" w:hint="eastAsia"/>
          <w:color w:val="000000"/>
          <w:sz w:val="24"/>
        </w:rPr>
        <w:t>Congge</w:t>
      </w:r>
      <w:proofErr w:type="spellEnd"/>
      <w:r w:rsidRPr="00EB3E36">
        <w:rPr>
          <w:rFonts w:ascii="Times New Roman" w:hAnsi="Times New Roman" w:hint="eastAsia"/>
          <w:color w:val="000000"/>
          <w:sz w:val="24"/>
        </w:rPr>
        <w:t xml:space="preserve"> Lu</w:t>
      </w:r>
      <w:r w:rsidRPr="00EB3E36">
        <w:rPr>
          <w:rFonts w:ascii="Times New Roman" w:hAnsi="Times New Roman" w:hint="eastAsia"/>
          <w:color w:val="000000"/>
          <w:sz w:val="24"/>
          <w:vertAlign w:val="superscript"/>
        </w:rPr>
        <w:t>1</w:t>
      </w:r>
      <w:r w:rsidRPr="00EB3E36">
        <w:rPr>
          <w:rFonts w:ascii="Times New Roman" w:hAnsi="Times New Roman" w:hint="eastAsia"/>
          <w:color w:val="000000"/>
          <w:sz w:val="24"/>
        </w:rPr>
        <w:t xml:space="preserve">, </w:t>
      </w:r>
      <w:proofErr w:type="spellStart"/>
      <w:r w:rsidRPr="00EB3E36">
        <w:rPr>
          <w:rFonts w:ascii="Times New Roman" w:hAnsi="Times New Roman" w:hint="eastAsia"/>
          <w:color w:val="000000"/>
          <w:sz w:val="24"/>
        </w:rPr>
        <w:t>Jingkang</w:t>
      </w:r>
      <w:proofErr w:type="spellEnd"/>
      <w:r w:rsidRPr="00EB3E36">
        <w:rPr>
          <w:rFonts w:ascii="Times New Roman" w:hAnsi="Times New Roman" w:hint="eastAsia"/>
          <w:color w:val="000000"/>
          <w:sz w:val="24"/>
        </w:rPr>
        <w:t xml:space="preserve"> Ma</w:t>
      </w:r>
      <w:r w:rsidRPr="00EB3E36">
        <w:rPr>
          <w:rFonts w:ascii="Times New Roman" w:hAnsi="Times New Roman" w:hint="eastAsia"/>
          <w:color w:val="000000"/>
          <w:sz w:val="24"/>
          <w:vertAlign w:val="superscript"/>
        </w:rPr>
        <w:t>1</w:t>
      </w:r>
      <w:r w:rsidRPr="00EB3E36">
        <w:rPr>
          <w:rFonts w:ascii="Times New Roman" w:hAnsi="Times New Roman" w:hint="eastAsia"/>
          <w:color w:val="000000"/>
          <w:sz w:val="24"/>
        </w:rPr>
        <w:t xml:space="preserve">, </w:t>
      </w:r>
      <w:proofErr w:type="spellStart"/>
      <w:r w:rsidRPr="00EB3E36">
        <w:rPr>
          <w:rFonts w:ascii="Times New Roman" w:hAnsi="Times New Roman" w:hint="eastAsia"/>
          <w:color w:val="000000"/>
          <w:sz w:val="24"/>
        </w:rPr>
        <w:t>Qiuyuan</w:t>
      </w:r>
      <w:proofErr w:type="spellEnd"/>
      <w:r w:rsidRPr="00EB3E36">
        <w:rPr>
          <w:rFonts w:ascii="Times New Roman" w:hAnsi="Times New Roman" w:hint="eastAsia"/>
          <w:color w:val="000000"/>
          <w:sz w:val="24"/>
        </w:rPr>
        <w:t xml:space="preserve"> Feng</w:t>
      </w:r>
      <w:r w:rsidRPr="00EB3E36">
        <w:rPr>
          <w:rFonts w:ascii="Times New Roman" w:hAnsi="Times New Roman" w:hint="eastAsia"/>
          <w:color w:val="000000"/>
          <w:sz w:val="24"/>
          <w:vertAlign w:val="superscript"/>
        </w:rPr>
        <w:t>2</w:t>
      </w:r>
      <w:r w:rsidRPr="00EB3E36">
        <w:rPr>
          <w:rFonts w:ascii="Times New Roman" w:hAnsi="Times New Roman" w:hint="eastAsia"/>
          <w:color w:val="000000"/>
          <w:sz w:val="24"/>
        </w:rPr>
        <w:t>, Shaoxing Li</w:t>
      </w:r>
      <w:r w:rsidRPr="00EB3E36">
        <w:rPr>
          <w:rFonts w:ascii="Times New Roman" w:hAnsi="Times New Roman" w:hint="eastAsia"/>
          <w:color w:val="000000"/>
          <w:sz w:val="24"/>
          <w:vertAlign w:val="superscript"/>
        </w:rPr>
        <w:t>1</w:t>
      </w:r>
      <w:r w:rsidRPr="00EB3E36">
        <w:rPr>
          <w:rFonts w:ascii="Times New Roman" w:hAnsi="Times New Roman" w:hint="eastAsia"/>
          <w:color w:val="000000"/>
          <w:sz w:val="24"/>
        </w:rPr>
        <w:t>, Tao Zhang</w:t>
      </w:r>
      <w:r w:rsidRPr="00EB3E36">
        <w:rPr>
          <w:rFonts w:ascii="Times New Roman" w:hAnsi="Times New Roman" w:hint="eastAsia"/>
          <w:color w:val="000000"/>
          <w:sz w:val="24"/>
          <w:vertAlign w:val="superscript"/>
        </w:rPr>
        <w:t>1</w:t>
      </w:r>
      <w:r w:rsidRPr="00EB3E36">
        <w:rPr>
          <w:rFonts w:ascii="Times New Roman" w:hAnsi="Times New Roman" w:hint="eastAsia"/>
          <w:color w:val="000000"/>
          <w:sz w:val="24"/>
        </w:rPr>
        <w:t>, Shuang Zhou</w:t>
      </w:r>
      <w:r w:rsidRPr="00EB3E36">
        <w:rPr>
          <w:rFonts w:ascii="Times New Roman" w:hAnsi="Times New Roman" w:hint="eastAsia"/>
          <w:color w:val="000000"/>
          <w:sz w:val="24"/>
          <w:vertAlign w:val="superscript"/>
        </w:rPr>
        <w:t xml:space="preserve"> 1, *</w:t>
      </w:r>
      <w:r w:rsidRPr="00EB3E36">
        <w:rPr>
          <w:rFonts w:ascii="Times New Roman" w:hAnsi="Times New Roman" w:hint="eastAsia"/>
          <w:color w:val="000000"/>
          <w:sz w:val="24"/>
        </w:rPr>
        <w:t xml:space="preserve"> and </w:t>
      </w:r>
      <w:proofErr w:type="spellStart"/>
      <w:r w:rsidRPr="00EB3E36">
        <w:rPr>
          <w:rFonts w:ascii="Times New Roman" w:hAnsi="Times New Roman" w:hint="eastAsia"/>
          <w:color w:val="000000"/>
          <w:sz w:val="24"/>
        </w:rPr>
        <w:t>Anqiang</w:t>
      </w:r>
      <w:proofErr w:type="spellEnd"/>
      <w:r w:rsidRPr="00EB3E36">
        <w:rPr>
          <w:rFonts w:ascii="Times New Roman" w:hAnsi="Times New Roman" w:hint="eastAsia"/>
          <w:color w:val="000000"/>
          <w:sz w:val="24"/>
        </w:rPr>
        <w:t xml:space="preserve"> Pan</w:t>
      </w:r>
      <w:r w:rsidRPr="00EB3E36">
        <w:rPr>
          <w:rFonts w:ascii="Times New Roman" w:hAnsi="Times New Roman" w:hint="eastAsia"/>
          <w:color w:val="000000"/>
          <w:sz w:val="24"/>
          <w:vertAlign w:val="superscript"/>
        </w:rPr>
        <w:t xml:space="preserve"> 1, 2, *</w:t>
      </w:r>
    </w:p>
    <w:p w14:paraId="546E4B3C" w14:textId="77777777" w:rsidR="00533892" w:rsidRPr="00EB3E36" w:rsidRDefault="00533892" w:rsidP="00533892">
      <w:pPr>
        <w:pStyle w:val="Addresses"/>
        <w:spacing w:before="120" w:after="120"/>
        <w:rPr>
          <w:rFonts w:eastAsia="宋体"/>
          <w:color w:val="000000"/>
          <w:lang w:eastAsia="zh-CN"/>
        </w:rPr>
      </w:pPr>
      <w:r w:rsidRPr="00EB3E36">
        <w:rPr>
          <w:rFonts w:eastAsia="宋体" w:hint="eastAsia"/>
          <w:color w:val="000000"/>
          <w:vertAlign w:val="superscript"/>
          <w:lang w:eastAsia="zh-CN"/>
        </w:rPr>
        <w:t>1</w:t>
      </w:r>
      <w:r w:rsidRPr="00EB3E36">
        <w:rPr>
          <w:color w:val="000000"/>
        </w:rPr>
        <w:t xml:space="preserve">School of Materials Science and Engineering, Key Laboratory of Electronic Packaging and Advanced Functional Materials of Hunan Province, Central South University, Changsha 410083, </w:t>
      </w:r>
      <w:r>
        <w:rPr>
          <w:color w:val="000000"/>
        </w:rPr>
        <w:t>P. R.</w:t>
      </w:r>
      <w:r w:rsidRPr="00EB3E36">
        <w:rPr>
          <w:color w:val="000000"/>
        </w:rPr>
        <w:t xml:space="preserve"> China</w:t>
      </w:r>
    </w:p>
    <w:p w14:paraId="26491391" w14:textId="77777777" w:rsidR="00533892" w:rsidRPr="00EB3E36" w:rsidRDefault="00533892" w:rsidP="00533892">
      <w:pPr>
        <w:pStyle w:val="Addresses"/>
        <w:spacing w:before="120" w:after="120"/>
        <w:rPr>
          <w:rFonts w:eastAsia="宋体"/>
          <w:iCs/>
          <w:color w:val="000000"/>
          <w:lang w:eastAsia="zh-CN"/>
        </w:rPr>
      </w:pPr>
      <w:r w:rsidRPr="00EB3E36">
        <w:rPr>
          <w:rFonts w:eastAsia="宋体" w:hint="eastAsia"/>
          <w:iCs/>
          <w:color w:val="000000"/>
          <w:vertAlign w:val="superscript"/>
          <w:lang w:eastAsia="zh-CN"/>
        </w:rPr>
        <w:t>2</w:t>
      </w:r>
      <w:r w:rsidRPr="00EB3E36">
        <w:rPr>
          <w:iCs/>
          <w:color w:val="000000"/>
        </w:rPr>
        <w:t xml:space="preserve">Xinjiang Key Laboratory of Advanced Metallic Materials Design and Application, Xinjiang Engineering Research Center of Environmental and Functional Materials, School of Materials Science and Engineering, Xinjiang University, Urumqi 830046, </w:t>
      </w:r>
      <w:r>
        <w:rPr>
          <w:color w:val="000000"/>
        </w:rPr>
        <w:t>P. R.</w:t>
      </w:r>
      <w:r w:rsidRPr="00EB3E36">
        <w:rPr>
          <w:color w:val="000000"/>
        </w:rPr>
        <w:t xml:space="preserve"> </w:t>
      </w:r>
      <w:r w:rsidRPr="00EB3E36">
        <w:rPr>
          <w:iCs/>
          <w:color w:val="000000"/>
        </w:rPr>
        <w:t xml:space="preserve">China </w:t>
      </w:r>
    </w:p>
    <w:p w14:paraId="5C806230" w14:textId="77777777" w:rsidR="00533892" w:rsidRPr="00EB3E36" w:rsidRDefault="00533892" w:rsidP="00533892">
      <w:pPr>
        <w:pStyle w:val="Addresses"/>
        <w:spacing w:before="120" w:after="120"/>
        <w:rPr>
          <w:rFonts w:eastAsia="宋体"/>
          <w:iCs/>
          <w:color w:val="000000"/>
          <w:lang w:eastAsia="zh-CN"/>
        </w:rPr>
      </w:pPr>
      <w:r w:rsidRPr="00EB3E36">
        <w:rPr>
          <w:rFonts w:eastAsia="宋体" w:hint="eastAsia"/>
          <w:color w:val="000000"/>
          <w:lang w:eastAsia="zh-CN"/>
        </w:rPr>
        <w:t xml:space="preserve"># </w:t>
      </w:r>
      <w:proofErr w:type="spellStart"/>
      <w:r w:rsidRPr="00EB3E36">
        <w:rPr>
          <w:rFonts w:hint="eastAsia"/>
          <w:color w:val="000000"/>
        </w:rPr>
        <w:t>Minxi</w:t>
      </w:r>
      <w:proofErr w:type="spellEnd"/>
      <w:r w:rsidRPr="00EB3E36">
        <w:rPr>
          <w:rFonts w:hint="eastAsia"/>
          <w:color w:val="000000"/>
        </w:rPr>
        <w:t xml:space="preserve"> Sun</w:t>
      </w:r>
      <w:r>
        <w:rPr>
          <w:color w:val="000000"/>
        </w:rPr>
        <w:t xml:space="preserve"> </w:t>
      </w:r>
      <w:r w:rsidRPr="00892AE3">
        <w:rPr>
          <w:rFonts w:eastAsiaTheme="minorEastAsia"/>
          <w:color w:val="000000"/>
          <w:lang w:eastAsia="zh-CN"/>
        </w:rPr>
        <w:t>and</w:t>
      </w:r>
      <w:r w:rsidRPr="00892AE3">
        <w:rPr>
          <w:color w:val="000000"/>
        </w:rPr>
        <w:t xml:space="preserve"> </w:t>
      </w:r>
      <w:proofErr w:type="spellStart"/>
      <w:r w:rsidRPr="00892AE3">
        <w:rPr>
          <w:color w:val="000000"/>
        </w:rPr>
        <w:t>Yining</w:t>
      </w:r>
      <w:proofErr w:type="spellEnd"/>
      <w:r w:rsidRPr="00EB3E36">
        <w:rPr>
          <w:rFonts w:hint="eastAsia"/>
          <w:color w:val="000000"/>
        </w:rPr>
        <w:t xml:space="preserve"> Chen</w:t>
      </w:r>
      <w:r>
        <w:rPr>
          <w:color w:val="000000"/>
        </w:rPr>
        <w:t xml:space="preserve"> </w:t>
      </w:r>
      <w:r w:rsidRPr="00EB3E36">
        <w:rPr>
          <w:rFonts w:eastAsia="宋体" w:hint="eastAsia"/>
          <w:color w:val="000000"/>
          <w:lang w:eastAsia="zh-CN"/>
        </w:rPr>
        <w:t>contributed equally to this work</w:t>
      </w:r>
      <w:r>
        <w:rPr>
          <w:rFonts w:eastAsia="宋体"/>
          <w:color w:val="000000"/>
          <w:lang w:eastAsia="zh-CN"/>
        </w:rPr>
        <w:t>.</w:t>
      </w:r>
    </w:p>
    <w:p w14:paraId="4443B456" w14:textId="77777777" w:rsidR="00533892" w:rsidRPr="00EB3E36" w:rsidRDefault="00533892" w:rsidP="00533892">
      <w:pPr>
        <w:pStyle w:val="Addresses"/>
        <w:spacing w:before="120" w:after="120"/>
        <w:rPr>
          <w:color w:val="000000"/>
        </w:rPr>
      </w:pPr>
      <w:r w:rsidRPr="00EB3E36">
        <w:rPr>
          <w:rFonts w:eastAsia="宋体" w:hint="eastAsia"/>
          <w:color w:val="000000"/>
          <w:lang w:eastAsia="zh-CN"/>
        </w:rPr>
        <w:t xml:space="preserve">* </w:t>
      </w:r>
      <w:r w:rsidRPr="00EB3E36">
        <w:rPr>
          <w:rFonts w:hint="eastAsia"/>
          <w:color w:val="000000"/>
        </w:rPr>
        <w:t>Corresponding author</w:t>
      </w:r>
      <w:r>
        <w:rPr>
          <w:color w:val="000000"/>
        </w:rPr>
        <w:t xml:space="preserve">s. </w:t>
      </w:r>
      <w:r w:rsidRPr="00EB3E36">
        <w:rPr>
          <w:color w:val="000000"/>
        </w:rPr>
        <w:t>E-mail:</w:t>
      </w:r>
      <w:r w:rsidRPr="00EB3E36">
        <w:rPr>
          <w:rFonts w:eastAsia="宋体" w:hint="eastAsia"/>
          <w:color w:val="000000"/>
          <w:lang w:eastAsia="zh-CN"/>
        </w:rPr>
        <w:t xml:space="preserve"> </w:t>
      </w:r>
      <w:r w:rsidRPr="00EB3E36">
        <w:rPr>
          <w:rFonts w:eastAsia="宋体" w:hint="eastAsia"/>
          <w:color w:val="0000FF"/>
          <w:u w:val="single"/>
          <w:lang w:eastAsia="zh-CN"/>
        </w:rPr>
        <w:t>zhoushuang2017@csu.edu.cn</w:t>
      </w:r>
      <w:r w:rsidRPr="00EB3E36">
        <w:rPr>
          <w:color w:val="000000"/>
        </w:rPr>
        <w:t xml:space="preserve"> (</w:t>
      </w:r>
      <w:r w:rsidRPr="00EB3E36">
        <w:rPr>
          <w:rFonts w:eastAsia="宋体" w:hint="eastAsia"/>
          <w:color w:val="000000"/>
          <w:lang w:eastAsia="zh-CN"/>
        </w:rPr>
        <w:t>Shuang Zhou</w:t>
      </w:r>
      <w:r w:rsidRPr="00EB3E36">
        <w:rPr>
          <w:color w:val="000000"/>
        </w:rPr>
        <w:t>)</w:t>
      </w:r>
      <w:r w:rsidRPr="00EB3E36">
        <w:rPr>
          <w:rFonts w:hint="eastAsia"/>
          <w:color w:val="000000"/>
        </w:rPr>
        <w:t>;</w:t>
      </w:r>
      <w:r w:rsidRPr="00EB3E36">
        <w:rPr>
          <w:color w:val="000000"/>
        </w:rPr>
        <w:t xml:space="preserve"> </w:t>
      </w:r>
      <w:r w:rsidRPr="00EB3E36">
        <w:rPr>
          <w:color w:val="0000FF"/>
          <w:u w:val="single"/>
        </w:rPr>
        <w:t>pananqiang@csu.edu.cn</w:t>
      </w:r>
      <w:r w:rsidRPr="00EB3E36">
        <w:rPr>
          <w:color w:val="000000"/>
        </w:rPr>
        <w:t xml:space="preserve"> (</w:t>
      </w:r>
      <w:proofErr w:type="spellStart"/>
      <w:r w:rsidRPr="00EB3E36">
        <w:rPr>
          <w:color w:val="000000"/>
        </w:rPr>
        <w:t>A</w:t>
      </w:r>
      <w:r w:rsidRPr="00EB3E36">
        <w:rPr>
          <w:rFonts w:eastAsia="宋体" w:hint="eastAsia"/>
          <w:color w:val="000000"/>
          <w:lang w:eastAsia="zh-CN"/>
        </w:rPr>
        <w:t>nqiang</w:t>
      </w:r>
      <w:proofErr w:type="spellEnd"/>
      <w:r w:rsidRPr="00EB3E36">
        <w:rPr>
          <w:rFonts w:eastAsia="宋体" w:hint="eastAsia"/>
          <w:color w:val="000000"/>
          <w:lang w:eastAsia="zh-CN"/>
        </w:rPr>
        <w:t xml:space="preserve"> </w:t>
      </w:r>
      <w:r w:rsidRPr="00EB3E36">
        <w:rPr>
          <w:rFonts w:hint="eastAsia"/>
          <w:color w:val="000000"/>
        </w:rPr>
        <w:t>Pa</w:t>
      </w:r>
      <w:r w:rsidRPr="00EB3E36">
        <w:rPr>
          <w:color w:val="000000"/>
        </w:rPr>
        <w:t>n)</w:t>
      </w:r>
    </w:p>
    <w:p w14:paraId="37544D8B" w14:textId="77777777" w:rsidR="000C2399" w:rsidRDefault="00753684" w:rsidP="00533892">
      <w:pPr>
        <w:widowControl/>
        <w:spacing w:before="120" w:after="120"/>
        <w:rPr>
          <w:rFonts w:ascii="Times New Roman" w:hAnsi="Times New Roman" w:cs="Times New Roman"/>
          <w:b/>
          <w:bCs/>
          <w:color w:val="000000" w:themeColor="text1"/>
          <w:kern w:val="0"/>
          <w:sz w:val="28"/>
          <w:szCs w:val="28"/>
          <w:lang w:val="de-DE"/>
        </w:rPr>
      </w:pPr>
      <w:r>
        <w:rPr>
          <w:rFonts w:ascii="Times New Roman" w:eastAsia="等线" w:hAnsi="Times New Roman" w:cs="Times New Roman" w:hint="eastAsia"/>
          <w:b/>
          <w:bCs/>
          <w:color w:val="000000" w:themeColor="text1"/>
          <w:kern w:val="24"/>
          <w:sz w:val="28"/>
          <w:szCs w:val="28"/>
        </w:rPr>
        <w:t>S1 C</w:t>
      </w:r>
      <w:r>
        <w:rPr>
          <w:rFonts w:ascii="Times New Roman" w:eastAsia="等线" w:hAnsi="Times New Roman" w:cs="Times New Roman"/>
          <w:b/>
          <w:bCs/>
          <w:color w:val="000000" w:themeColor="text1"/>
          <w:kern w:val="24"/>
          <w:sz w:val="28"/>
          <w:szCs w:val="28"/>
        </w:rPr>
        <w:t>haracterization</w:t>
      </w:r>
      <w:r>
        <w:rPr>
          <w:rFonts w:ascii="Times New Roman" w:eastAsia="MS Mincho" w:hAnsi="Times New Roman" w:cs="Times New Roman"/>
          <w:b/>
          <w:bCs/>
          <w:color w:val="000000" w:themeColor="text1"/>
          <w:kern w:val="0"/>
          <w:sz w:val="28"/>
          <w:szCs w:val="28"/>
          <w:lang w:val="de-DE" w:eastAsia="ja-JP"/>
        </w:rPr>
        <w:t xml:space="preserve"> Section</w:t>
      </w:r>
    </w:p>
    <w:bookmarkEnd w:id="1"/>
    <w:p w14:paraId="382FB07A"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S1.1 </w:t>
      </w:r>
      <w:r>
        <w:rPr>
          <w:rFonts w:ascii="Times New Roman" w:hAnsi="Times New Roman" w:cs="Times New Roman"/>
          <w:b/>
          <w:bCs/>
          <w:i/>
          <w:iCs/>
          <w:color w:val="000000" w:themeColor="text1"/>
          <w:sz w:val="24"/>
        </w:rPr>
        <w:t>Materials characterization</w:t>
      </w:r>
    </w:p>
    <w:p w14:paraId="18921024" w14:textId="77777777" w:rsidR="000C2399" w:rsidRDefault="00753684" w:rsidP="00533892">
      <w:pPr>
        <w:spacing w:before="120" w:after="120"/>
        <w:rPr>
          <w:rFonts w:ascii="Times New Roman" w:eastAsia="等线" w:hAnsi="Times New Roman" w:cs="Times New Roman"/>
          <w:color w:val="000000" w:themeColor="text1"/>
          <w:kern w:val="24"/>
          <w:sz w:val="24"/>
        </w:rPr>
      </w:pPr>
      <w:r>
        <w:rPr>
          <w:rFonts w:ascii="Times New Roman" w:hAnsi="Times New Roman" w:cs="Times New Roman"/>
          <w:color w:val="000000" w:themeColor="text1"/>
          <w:sz w:val="24"/>
        </w:rPr>
        <w:t xml:space="preserve">The solutions prepared in this work were characterized by </w:t>
      </w:r>
      <w:r>
        <w:rPr>
          <w:rFonts w:ascii="Times New Roman" w:eastAsia="等线" w:hAnsi="Times New Roman" w:cs="Times New Roman"/>
          <w:color w:val="000000" w:themeColor="text1"/>
          <w:kern w:val="24"/>
          <w:sz w:val="24"/>
        </w:rPr>
        <w:t xml:space="preserve">Fourier-transform infrared spectrometer (FTIR, Thermo </w:t>
      </w:r>
      <w:r>
        <w:rPr>
          <w:rFonts w:ascii="Times New Roman" w:eastAsia="等线" w:hAnsi="Times New Roman" w:cs="Times New Roman" w:hint="eastAsia"/>
          <w:color w:val="000000" w:themeColor="text1"/>
          <w:kern w:val="24"/>
          <w:sz w:val="24"/>
        </w:rPr>
        <w:t xml:space="preserve">Fisher </w:t>
      </w:r>
      <w:r>
        <w:rPr>
          <w:rFonts w:ascii="Times New Roman" w:eastAsia="等线" w:hAnsi="Times New Roman" w:cs="Times New Roman"/>
          <w:color w:val="000000" w:themeColor="text1"/>
          <w:kern w:val="24"/>
          <w:sz w:val="24"/>
        </w:rPr>
        <w:t xml:space="preserve">Scientific </w:t>
      </w:r>
      <w:r>
        <w:rPr>
          <w:rFonts w:ascii="Times New Roman" w:eastAsia="等线" w:hAnsi="Times New Roman" w:cs="Times New Roman" w:hint="eastAsia"/>
          <w:color w:val="000000" w:themeColor="text1"/>
          <w:kern w:val="24"/>
          <w:sz w:val="24"/>
        </w:rPr>
        <w:t xml:space="preserve">Nicolet </w:t>
      </w:r>
      <w:r>
        <w:rPr>
          <w:rFonts w:ascii="Times New Roman" w:eastAsia="等线" w:hAnsi="Times New Roman" w:cs="Times New Roman"/>
          <w:color w:val="000000" w:themeColor="text1"/>
          <w:kern w:val="24"/>
          <w:sz w:val="24"/>
        </w:rPr>
        <w:t xml:space="preserve">iN10), Raman microscope (Horiba </w:t>
      </w:r>
      <w:proofErr w:type="spellStart"/>
      <w:r>
        <w:rPr>
          <w:rFonts w:ascii="Times New Roman" w:eastAsia="等线" w:hAnsi="Times New Roman" w:cs="Times New Roman"/>
          <w:color w:val="000000" w:themeColor="text1"/>
          <w:kern w:val="24"/>
          <w:sz w:val="24"/>
        </w:rPr>
        <w:t>LabRAM</w:t>
      </w:r>
      <w:proofErr w:type="spellEnd"/>
      <w:r>
        <w:rPr>
          <w:rFonts w:ascii="Times New Roman" w:eastAsia="等线" w:hAnsi="Times New Roman" w:cs="Times New Roman"/>
          <w:color w:val="000000" w:themeColor="text1"/>
          <w:kern w:val="24"/>
          <w:sz w:val="24"/>
        </w:rPr>
        <w:t xml:space="preserve"> HR Evolution), and liquid-state nuclear magnetic resonance (NMR, BRUKER AVANCE 400). X-ray photoelectron spectroscopy (XPS) was performed on a Thermo Scientific K-Alpha spectrometer equipped with a monochromatic Al Kα X-ray source. The composition and structure of zinc anodes were examined by X-ray diffraction. Data were acquired on a Rigaku Mini Flex 600 diffractometer equipped with a Cu-Kα1 radiation source (λ = 1.5406 Å), scanning from 5° to 80° (2</w:t>
      </w:r>
      <w:r>
        <w:rPr>
          <w:rFonts w:ascii="Times New Roman" w:eastAsia="等线" w:hAnsi="Times New Roman" w:cs="Times New Roman"/>
          <w:i/>
          <w:iCs/>
          <w:color w:val="000000" w:themeColor="text1"/>
          <w:kern w:val="24"/>
          <w:sz w:val="24"/>
        </w:rPr>
        <w:t>θ</w:t>
      </w:r>
      <w:r>
        <w:rPr>
          <w:rFonts w:ascii="Times New Roman" w:eastAsia="等线" w:hAnsi="Times New Roman" w:cs="Times New Roman"/>
          <w:color w:val="000000" w:themeColor="text1"/>
          <w:kern w:val="24"/>
          <w:sz w:val="24"/>
        </w:rPr>
        <w:t>) at a rate of 10° per minute</w:t>
      </w:r>
      <w:r>
        <w:rPr>
          <w:rFonts w:ascii="Times New Roman" w:eastAsia="等线" w:hAnsi="Times New Roman" w:cs="Times New Roman" w:hint="eastAsia"/>
          <w:color w:val="000000" w:themeColor="text1"/>
          <w:kern w:val="24"/>
          <w:sz w:val="24"/>
        </w:rPr>
        <w:t xml:space="preserve">. The morphology of the Zn electrode was examined by field-emission scanning electron microscopy (SEM, Quanta FEG250). Its three-dimensional surface topography was analyzed using scanning laser confocal microscopy (SLCM, KEYENCE VK-X150). And the zinc plating process was monitored </w:t>
      </w:r>
      <w:r>
        <w:rPr>
          <w:rFonts w:ascii="Times New Roman" w:eastAsia="等线" w:hAnsi="Times New Roman" w:cs="Times New Roman" w:hint="eastAsia"/>
          <w:i/>
          <w:iCs/>
          <w:color w:val="000000" w:themeColor="text1"/>
          <w:kern w:val="24"/>
          <w:sz w:val="24"/>
        </w:rPr>
        <w:t>in situ</w:t>
      </w:r>
      <w:r>
        <w:rPr>
          <w:rFonts w:ascii="Times New Roman" w:eastAsia="等线" w:hAnsi="Times New Roman" w:cs="Times New Roman" w:hint="eastAsia"/>
          <w:color w:val="000000" w:themeColor="text1"/>
          <w:kern w:val="24"/>
          <w:sz w:val="24"/>
        </w:rPr>
        <w:t xml:space="preserve"> using an optical microscope (</w:t>
      </w:r>
      <w:proofErr w:type="spellStart"/>
      <w:r>
        <w:rPr>
          <w:rFonts w:ascii="Times New Roman" w:eastAsia="等线" w:hAnsi="Times New Roman" w:cs="Times New Roman" w:hint="eastAsia"/>
          <w:color w:val="000000" w:themeColor="text1"/>
          <w:kern w:val="24"/>
          <w:sz w:val="24"/>
        </w:rPr>
        <w:t>Yuescope</w:t>
      </w:r>
      <w:proofErr w:type="spellEnd"/>
      <w:r>
        <w:rPr>
          <w:rFonts w:ascii="Times New Roman" w:eastAsia="等线" w:hAnsi="Times New Roman" w:cs="Times New Roman" w:hint="eastAsia"/>
          <w:color w:val="000000" w:themeColor="text1"/>
          <w:kern w:val="24"/>
          <w:sz w:val="24"/>
        </w:rPr>
        <w:t>, YM530-YR). Electrode samples were obtained by dismantling Zn||Zn, Zn||I</w:t>
      </w:r>
      <w:r>
        <w:rPr>
          <w:rFonts w:ascii="Times New Roman" w:eastAsia="等线" w:hAnsi="Times New Roman" w:cs="Times New Roman" w:hint="eastAsia"/>
          <w:color w:val="000000" w:themeColor="text1"/>
          <w:kern w:val="24"/>
          <w:sz w:val="24"/>
          <w:vertAlign w:val="subscript"/>
        </w:rPr>
        <w:t>2</w:t>
      </w:r>
      <w:r>
        <w:rPr>
          <w:rFonts w:ascii="Times New Roman" w:eastAsia="等线" w:hAnsi="Times New Roman" w:cs="Times New Roman" w:hint="eastAsia"/>
          <w:color w:val="000000" w:themeColor="text1"/>
          <w:kern w:val="24"/>
          <w:sz w:val="24"/>
        </w:rPr>
        <w:t xml:space="preserve"> or Zn||Cu cells following a specified number of cycles under designated current densities. Once rinsed with DI water to eliminate remaining electrolyte and subsequently dried, the samples were moved to the apparatus for examining the Zn anode's or Cu foil</w:t>
      </w:r>
      <w:r>
        <w:rPr>
          <w:rFonts w:ascii="Times New Roman" w:eastAsia="等线" w:hAnsi="Times New Roman" w:cs="Times New Roman"/>
          <w:color w:val="000000" w:themeColor="text1"/>
          <w:kern w:val="24"/>
          <w:sz w:val="24"/>
        </w:rPr>
        <w:t>’</w:t>
      </w:r>
      <w:r>
        <w:rPr>
          <w:rFonts w:ascii="Times New Roman" w:eastAsia="等线" w:hAnsi="Times New Roman" w:cs="Times New Roman" w:hint="eastAsia"/>
          <w:color w:val="000000" w:themeColor="text1"/>
          <w:kern w:val="24"/>
          <w:sz w:val="24"/>
        </w:rPr>
        <w:t>s morphology.</w:t>
      </w:r>
    </w:p>
    <w:p w14:paraId="3681E40F" w14:textId="77777777" w:rsidR="000C2399" w:rsidRDefault="00753684" w:rsidP="00533892">
      <w:pPr>
        <w:spacing w:before="120" w:after="120"/>
        <w:rPr>
          <w:rFonts w:ascii="Times New Roman" w:eastAsia="等线" w:hAnsi="Times New Roman" w:cs="Times New Roman"/>
          <w:b/>
          <w:bCs/>
          <w:i/>
          <w:iCs/>
          <w:color w:val="000000" w:themeColor="text1"/>
          <w:kern w:val="24"/>
          <w:sz w:val="24"/>
        </w:rPr>
      </w:pPr>
      <w:r>
        <w:rPr>
          <w:rFonts w:ascii="Times New Roman" w:eastAsia="等线" w:hAnsi="Times New Roman" w:cs="Times New Roman" w:hint="eastAsia"/>
          <w:b/>
          <w:bCs/>
          <w:i/>
          <w:iCs/>
          <w:color w:val="000000" w:themeColor="text1"/>
          <w:kern w:val="24"/>
          <w:sz w:val="24"/>
        </w:rPr>
        <w:t xml:space="preserve">S1.2 </w:t>
      </w:r>
      <w:r>
        <w:rPr>
          <w:rFonts w:ascii="Times New Roman" w:eastAsia="等线" w:hAnsi="Times New Roman" w:cs="Times New Roman"/>
          <w:b/>
          <w:bCs/>
          <w:i/>
          <w:iCs/>
          <w:color w:val="000000" w:themeColor="text1"/>
          <w:kern w:val="24"/>
          <w:sz w:val="24"/>
        </w:rPr>
        <w:t xml:space="preserve">Electrochemical </w:t>
      </w:r>
      <w:r>
        <w:rPr>
          <w:rFonts w:ascii="Times New Roman" w:eastAsia="等线" w:hAnsi="Times New Roman" w:cs="Times New Roman" w:hint="eastAsia"/>
          <w:b/>
          <w:bCs/>
          <w:i/>
          <w:iCs/>
          <w:color w:val="000000" w:themeColor="text1"/>
          <w:kern w:val="24"/>
          <w:sz w:val="24"/>
        </w:rPr>
        <w:t>p</w:t>
      </w:r>
      <w:r>
        <w:rPr>
          <w:rFonts w:ascii="Times New Roman" w:eastAsia="等线" w:hAnsi="Times New Roman" w:cs="Times New Roman"/>
          <w:b/>
          <w:bCs/>
          <w:i/>
          <w:iCs/>
          <w:color w:val="000000" w:themeColor="text1"/>
          <w:kern w:val="24"/>
          <w:sz w:val="24"/>
        </w:rPr>
        <w:t xml:space="preserve">erformance </w:t>
      </w:r>
      <w:r>
        <w:rPr>
          <w:rFonts w:ascii="Times New Roman" w:eastAsia="等线" w:hAnsi="Times New Roman" w:cs="Times New Roman" w:hint="eastAsia"/>
          <w:b/>
          <w:bCs/>
          <w:i/>
          <w:iCs/>
          <w:color w:val="000000" w:themeColor="text1"/>
          <w:kern w:val="24"/>
          <w:sz w:val="24"/>
        </w:rPr>
        <w:t>c</w:t>
      </w:r>
      <w:r>
        <w:rPr>
          <w:rFonts w:ascii="Times New Roman" w:eastAsia="等线" w:hAnsi="Times New Roman" w:cs="Times New Roman"/>
          <w:b/>
          <w:bCs/>
          <w:i/>
          <w:iCs/>
          <w:color w:val="000000" w:themeColor="text1"/>
          <w:kern w:val="24"/>
          <w:sz w:val="24"/>
        </w:rPr>
        <w:t>haracterization</w:t>
      </w:r>
    </w:p>
    <w:p w14:paraId="3016E905"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Battery evaluations were performed via a NEWARE system (CT-4008-5 V-10/50 mA) employing CR2032-style coin batteries. Testing units were </w:t>
      </w:r>
      <w:r>
        <w:rPr>
          <w:rFonts w:ascii="Times New Roman" w:hAnsi="Times New Roman" w:cs="Times New Roman" w:hint="eastAsia"/>
          <w:color w:val="000000" w:themeColor="text1"/>
          <w:sz w:val="24"/>
        </w:rPr>
        <w:t>assembled</w:t>
      </w:r>
      <w:r>
        <w:rPr>
          <w:rFonts w:ascii="Times New Roman" w:hAnsi="Times New Roman" w:cs="Times New Roman"/>
          <w:color w:val="000000" w:themeColor="text1"/>
          <w:sz w:val="24"/>
        </w:rPr>
        <w:t xml:space="preserve"> under normal air </w:t>
      </w:r>
      <w:r>
        <w:rPr>
          <w:rFonts w:ascii="Times New Roman" w:hAnsi="Times New Roman" w:cs="Times New Roman"/>
          <w:color w:val="000000" w:themeColor="text1"/>
          <w:sz w:val="24"/>
        </w:rPr>
        <w:lastRenderedPageBreak/>
        <w:t xml:space="preserve">conditions, each containing </w:t>
      </w:r>
      <w:r>
        <w:rPr>
          <w:rFonts w:ascii="Times New Roman" w:hAnsi="Times New Roman" w:cs="Times New Roman" w:hint="eastAsia"/>
          <w:color w:val="000000" w:themeColor="text1"/>
          <w:sz w:val="24"/>
        </w:rPr>
        <w:t>approximately</w:t>
      </w:r>
      <w:r>
        <w:rPr>
          <w:rFonts w:ascii="Times New Roman" w:hAnsi="Times New Roman" w:cs="Times New Roman"/>
          <w:color w:val="000000" w:themeColor="text1"/>
          <w:sz w:val="24"/>
        </w:rPr>
        <w:t xml:space="preserve"> </w:t>
      </w:r>
      <w:r>
        <w:rPr>
          <w:rFonts w:ascii="Times New Roman" w:hAnsi="Times New Roman" w:cs="Times New Roman" w:hint="eastAsia"/>
          <w:color w:val="000000" w:themeColor="text1"/>
          <w:sz w:val="24"/>
        </w:rPr>
        <w:t>80</w:t>
      </w:r>
      <w:r>
        <w:rPr>
          <w:rFonts w:ascii="Times New Roman" w:hAnsi="Times New Roman" w:cs="Times New Roman"/>
          <w:color w:val="000000" w:themeColor="text1"/>
          <w:sz w:val="24"/>
        </w:rPr>
        <w:t xml:space="preserve"> µL electrolyte. All </w:t>
      </w:r>
      <w:r>
        <w:rPr>
          <w:rFonts w:ascii="Times New Roman" w:eastAsia="等线" w:hAnsi="Times New Roman" w:cs="Times New Roman"/>
          <w:color w:val="000000" w:themeColor="text1"/>
          <w:kern w:val="24"/>
          <w:sz w:val="24"/>
        </w:rPr>
        <w:t>separator</w:t>
      </w:r>
      <w:r>
        <w:rPr>
          <w:rFonts w:ascii="Times New Roman" w:eastAsia="等线" w:hAnsi="Times New Roman" w:cs="Times New Roman" w:hint="eastAsia"/>
          <w:color w:val="000000" w:themeColor="text1"/>
          <w:kern w:val="24"/>
          <w:sz w:val="24"/>
        </w:rPr>
        <w:t>s</w:t>
      </w:r>
      <w:r>
        <w:rPr>
          <w:rFonts w:ascii="Times New Roman" w:hAnsi="Times New Roman" w:cs="Times New Roman" w:hint="eastAsia"/>
          <w:color w:val="000000" w:themeColor="text1"/>
          <w:sz w:val="24"/>
        </w:rPr>
        <w:t xml:space="preserve">, cutting to a diameter of 19 mm, </w:t>
      </w:r>
      <w:r>
        <w:rPr>
          <w:rFonts w:ascii="Times New Roman" w:hAnsi="Times New Roman" w:cs="Times New Roman"/>
          <w:color w:val="000000" w:themeColor="text1"/>
          <w:sz w:val="24"/>
        </w:rPr>
        <w:t>ha</w:t>
      </w:r>
      <w:r>
        <w:rPr>
          <w:rFonts w:ascii="Times New Roman" w:hAnsi="Times New Roman" w:cs="Times New Roman" w:hint="eastAsia"/>
          <w:color w:val="000000" w:themeColor="text1"/>
          <w:sz w:val="24"/>
        </w:rPr>
        <w:t>s</w:t>
      </w:r>
      <w:r>
        <w:rPr>
          <w:rFonts w:ascii="Times New Roman" w:hAnsi="Times New Roman" w:cs="Times New Roman"/>
          <w:color w:val="000000" w:themeColor="text1"/>
          <w:sz w:val="24"/>
        </w:rPr>
        <w:t xml:space="preserve"> a 300 </w:t>
      </w:r>
      <w:proofErr w:type="spellStart"/>
      <w:r>
        <w:rPr>
          <w:rFonts w:ascii="Times New Roman" w:hAnsi="Times New Roman" w:cs="Times New Roman"/>
          <w:color w:val="000000" w:themeColor="text1"/>
          <w:sz w:val="24"/>
        </w:rPr>
        <w:t>μm</w:t>
      </w:r>
      <w:proofErr w:type="spellEnd"/>
      <w:r>
        <w:rPr>
          <w:rFonts w:ascii="Times New Roman" w:hAnsi="Times New Roman" w:cs="Times New Roman"/>
          <w:color w:val="000000" w:themeColor="text1"/>
          <w:sz w:val="24"/>
        </w:rPr>
        <w:t xml:space="preserve"> gauge and originat</w:t>
      </w:r>
      <w:r>
        <w:rPr>
          <w:rFonts w:ascii="Times New Roman" w:hAnsi="Times New Roman" w:cs="Times New Roman" w:hint="eastAsia"/>
          <w:color w:val="000000" w:themeColor="text1"/>
          <w:sz w:val="24"/>
        </w:rPr>
        <w:t>es</w:t>
      </w:r>
      <w:r>
        <w:rPr>
          <w:rFonts w:ascii="Times New Roman" w:hAnsi="Times New Roman" w:cs="Times New Roman"/>
          <w:color w:val="000000" w:themeColor="text1"/>
          <w:sz w:val="24"/>
        </w:rPr>
        <w:t xml:space="preserve"> from Whatman™ </w:t>
      </w:r>
      <w:proofErr w:type="spellStart"/>
      <w:r>
        <w:rPr>
          <w:rFonts w:ascii="Times New Roman" w:hAnsi="Times New Roman" w:cs="Times New Roman"/>
          <w:color w:val="000000" w:themeColor="text1"/>
          <w:sz w:val="24"/>
        </w:rPr>
        <w:t>Cytiva</w:t>
      </w:r>
      <w:proofErr w:type="spellEnd"/>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The coulombic efficiency (CE) of zinc plating/stripping during cycling was determined using a Zn||Cu half-cell configuration, wherein a 15 mm diameter copper foil served as the cathode and a 12 mm diameter zinc foil (100 </w:t>
      </w:r>
      <w:proofErr w:type="spellStart"/>
      <w:r>
        <w:rPr>
          <w:rFonts w:ascii="Times New Roman" w:hAnsi="Times New Roman" w:cs="Times New Roman"/>
          <w:color w:val="000000" w:themeColor="text1"/>
          <w:sz w:val="24"/>
        </w:rPr>
        <w:t>μm</w:t>
      </w:r>
      <w:proofErr w:type="spellEnd"/>
      <w:r>
        <w:rPr>
          <w:rFonts w:ascii="Times New Roman" w:hAnsi="Times New Roman" w:cs="Times New Roman" w:hint="eastAsia"/>
          <w:color w:val="000000" w:themeColor="text1"/>
          <w:sz w:val="24"/>
        </w:rPr>
        <w:t xml:space="preserve">) functioned as the anode. Test batteries employed for depth-of discharge (DOD) were assembled using zinc foils (10 or 30 </w:t>
      </w:r>
      <w:proofErr w:type="spellStart"/>
      <w:r>
        <w:rPr>
          <w:rFonts w:ascii="Times New Roman" w:hAnsi="Times New Roman" w:cs="Times New Roman"/>
          <w:color w:val="000000" w:themeColor="text1"/>
          <w:sz w:val="24"/>
        </w:rPr>
        <w:t>μm</w:t>
      </w:r>
      <w:proofErr w:type="spellEnd"/>
      <w:r>
        <w:rPr>
          <w:rFonts w:ascii="Times New Roman" w:hAnsi="Times New Roman" w:cs="Times New Roman" w:hint="eastAsia"/>
          <w:color w:val="000000" w:themeColor="text1"/>
          <w:sz w:val="24"/>
        </w:rPr>
        <w:t xml:space="preserve"> thick) punched into 15 mm diameter wafers. And for all symmetric cells (excluding DOD tested cells), zinc foils (100 </w:t>
      </w:r>
      <w:proofErr w:type="spellStart"/>
      <w:r>
        <w:rPr>
          <w:rFonts w:ascii="Times New Roman" w:hAnsi="Times New Roman" w:cs="Times New Roman"/>
          <w:color w:val="000000" w:themeColor="text1"/>
          <w:sz w:val="24"/>
        </w:rPr>
        <w:t>μm</w:t>
      </w:r>
      <w:proofErr w:type="spellEnd"/>
      <w:r>
        <w:rPr>
          <w:rFonts w:ascii="Times New Roman" w:hAnsi="Times New Roman" w:cs="Times New Roman" w:hint="eastAsia"/>
          <w:color w:val="000000" w:themeColor="text1"/>
          <w:sz w:val="24"/>
        </w:rPr>
        <w:t xml:space="preserve"> thick) were punched into 12 mm diameter wafers. All full cells employed limited Zn foils (10 </w:t>
      </w:r>
      <w:proofErr w:type="spellStart"/>
      <w:r>
        <w:rPr>
          <w:rFonts w:ascii="Times New Roman" w:hAnsi="Times New Roman" w:cs="Times New Roman"/>
          <w:color w:val="000000" w:themeColor="text1"/>
          <w:sz w:val="24"/>
        </w:rPr>
        <w:t>μm</w:t>
      </w:r>
      <w:proofErr w:type="spellEnd"/>
      <w:r>
        <w:rPr>
          <w:rFonts w:ascii="Times New Roman" w:hAnsi="Times New Roman" w:cs="Times New Roman" w:hint="eastAsia"/>
          <w:color w:val="000000" w:themeColor="text1"/>
          <w:sz w:val="24"/>
        </w:rPr>
        <w:t>) as anodes, paired with pre-fabricated I</w:t>
      </w:r>
      <w:r>
        <w:rPr>
          <w:rFonts w:ascii="Times New Roman" w:hAnsi="Times New Roman" w:cs="Times New Roman" w:hint="eastAsia"/>
          <w:color w:val="000000" w:themeColor="text1"/>
          <w:sz w:val="24"/>
          <w:vertAlign w:val="subscript"/>
        </w:rPr>
        <w:t>2</w:t>
      </w:r>
      <w:r>
        <w:rPr>
          <w:rFonts w:ascii="Times New Roman" w:hAnsi="Times New Roman" w:cs="Times New Roman" w:hint="eastAsia"/>
          <w:color w:val="000000" w:themeColor="text1"/>
          <w:sz w:val="24"/>
        </w:rPr>
        <w:t xml:space="preserve"> electrodes. Zn||I</w:t>
      </w:r>
      <w:r>
        <w:rPr>
          <w:rFonts w:ascii="Times New Roman" w:hAnsi="Times New Roman" w:cs="Times New Roman" w:hint="eastAsia"/>
          <w:color w:val="000000" w:themeColor="text1"/>
          <w:sz w:val="24"/>
          <w:vertAlign w:val="subscript"/>
        </w:rPr>
        <w:t>2</w:t>
      </w:r>
      <w:r>
        <w:rPr>
          <w:rFonts w:ascii="Times New Roman" w:hAnsi="Times New Roman" w:cs="Times New Roman" w:hint="eastAsia"/>
          <w:color w:val="000000" w:themeColor="text1"/>
          <w:sz w:val="24"/>
        </w:rPr>
        <w:t xml:space="preserve"> coin full cells were assembled using 10 mm diameter I</w:t>
      </w:r>
      <w:r>
        <w:rPr>
          <w:rFonts w:ascii="Times New Roman" w:hAnsi="Times New Roman" w:cs="Times New Roman" w:hint="eastAsia"/>
          <w:color w:val="000000" w:themeColor="text1"/>
          <w:sz w:val="24"/>
          <w:vertAlign w:val="subscript"/>
        </w:rPr>
        <w:t>2</w:t>
      </w:r>
      <w:r>
        <w:rPr>
          <w:rFonts w:ascii="Times New Roman" w:hAnsi="Times New Roman" w:cs="Times New Roman" w:hint="eastAsia"/>
          <w:color w:val="000000" w:themeColor="text1"/>
          <w:sz w:val="24"/>
        </w:rPr>
        <w:t xml:space="preserve"> electrodes as the cathodes (areal loading: 10.78 </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12.98 mg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and 15 mm diameter zinc foils as the anodes. In the Zn||I</w:t>
      </w:r>
      <w:r>
        <w:rPr>
          <w:rFonts w:ascii="Times New Roman" w:hAnsi="Times New Roman" w:cs="Times New Roman" w:hint="eastAsia"/>
          <w:color w:val="000000" w:themeColor="text1"/>
          <w:sz w:val="24"/>
          <w:vertAlign w:val="subscript"/>
        </w:rPr>
        <w:t>2</w:t>
      </w:r>
      <w:r>
        <w:rPr>
          <w:rFonts w:ascii="Times New Roman" w:hAnsi="Times New Roman" w:cs="Times New Roman" w:hint="eastAsia"/>
          <w:color w:val="000000" w:themeColor="text1"/>
          <w:sz w:val="24"/>
        </w:rPr>
        <w:t xml:space="preserve"> pouch cells, the I</w:t>
      </w:r>
      <w:r>
        <w:rPr>
          <w:rFonts w:ascii="Times New Roman" w:hAnsi="Times New Roman" w:cs="Times New Roman" w:hint="eastAsia"/>
          <w:color w:val="000000" w:themeColor="text1"/>
          <w:sz w:val="24"/>
          <w:vertAlign w:val="subscript"/>
        </w:rPr>
        <w:t>2</w:t>
      </w:r>
      <w:r>
        <w:rPr>
          <w:rFonts w:ascii="Times New Roman" w:hAnsi="Times New Roman" w:cs="Times New Roman" w:hint="eastAsia"/>
          <w:color w:val="000000" w:themeColor="text1"/>
          <w:sz w:val="24"/>
        </w:rPr>
        <w:t xml:space="preserve"> cathode, Zn anode, </w:t>
      </w:r>
      <w:proofErr w:type="spellStart"/>
      <w:r>
        <w:rPr>
          <w:rFonts w:ascii="Times New Roman" w:hAnsi="Times New Roman" w:cs="Times New Roman" w:hint="eastAsia"/>
          <w:color w:val="000000" w:themeColor="text1"/>
          <w:sz w:val="24"/>
        </w:rPr>
        <w:t>Ti</w:t>
      </w:r>
      <w:proofErr w:type="spellEnd"/>
      <w:r>
        <w:rPr>
          <w:rFonts w:ascii="Times New Roman" w:hAnsi="Times New Roman" w:cs="Times New Roman" w:hint="eastAsia"/>
          <w:color w:val="000000" w:themeColor="text1"/>
          <w:sz w:val="24"/>
        </w:rPr>
        <w:t xml:space="preserve"> current collector and </w:t>
      </w:r>
      <w:r>
        <w:rPr>
          <w:rFonts w:ascii="Times New Roman" w:eastAsia="等线" w:hAnsi="Times New Roman" w:cs="Times New Roman"/>
          <w:color w:val="000000" w:themeColor="text1"/>
          <w:kern w:val="24"/>
          <w:sz w:val="24"/>
        </w:rPr>
        <w:t>separator</w:t>
      </w:r>
      <w:r>
        <w:rPr>
          <w:rFonts w:ascii="Times New Roman" w:eastAsia="等线" w:hAnsi="Times New Roman" w:cs="Times New Roman" w:hint="eastAsia"/>
          <w:color w:val="000000" w:themeColor="text1"/>
          <w:kern w:val="24"/>
          <w:sz w:val="24"/>
        </w:rPr>
        <w:t xml:space="preserve"> </w:t>
      </w:r>
      <w:r>
        <w:rPr>
          <w:rFonts w:ascii="Times New Roman" w:hAnsi="Times New Roman" w:cs="Times New Roman" w:hint="eastAsia"/>
          <w:color w:val="000000" w:themeColor="text1"/>
          <w:sz w:val="24"/>
        </w:rPr>
        <w:t xml:space="preserve">had dimensions of 13 </w:t>
      </w:r>
      <w:r>
        <w:rPr>
          <w:rFonts w:ascii="Times New Roman" w:hAnsi="Times New Roman" w:cs="Times New Roman"/>
          <w:color w:val="000000" w:themeColor="text1"/>
          <w:sz w:val="24"/>
        </w:rPr>
        <w:t xml:space="preserve">× </w:t>
      </w:r>
      <w:r>
        <w:rPr>
          <w:rFonts w:ascii="Times New Roman" w:hAnsi="Times New Roman" w:cs="Times New Roman" w:hint="eastAsia"/>
          <w:color w:val="000000" w:themeColor="text1"/>
          <w:sz w:val="24"/>
        </w:rPr>
        <w:t xml:space="preserve">20 mm, 16 </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23 mm, 19 </w:t>
      </w:r>
      <w:r>
        <w:rPr>
          <w:rFonts w:ascii="Times New Roman" w:hAnsi="Times New Roman" w:cs="Times New Roman"/>
          <w:color w:val="000000" w:themeColor="text1"/>
          <w:sz w:val="24"/>
        </w:rPr>
        <w:t xml:space="preserve">× </w:t>
      </w:r>
      <w:r>
        <w:rPr>
          <w:rFonts w:ascii="Times New Roman" w:hAnsi="Times New Roman" w:cs="Times New Roman" w:hint="eastAsia"/>
          <w:color w:val="000000" w:themeColor="text1"/>
          <w:sz w:val="24"/>
        </w:rPr>
        <w:t xml:space="preserve">24 mm and 23 </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30 mm, with a cathode areal loading of approximately 12.54 mg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During pouch cell assembly, aluminum-plastic laminates were employed as the external packaging. Heat sealing was initiated on three sides, followed by interior evacuation and final-side sealing to promote intimate contact among the internal components. Subsequently, a multimeter was utilized to measure the open-circuit voltage and confirm the absence of short-circuiting. Cyclic voltammetry (CV, 1 mV s</w:t>
      </w:r>
      <w:r>
        <w:rPr>
          <w:rFonts w:ascii="Times New Roman" w:hAnsi="Times New Roman" w:cs="Times New Roman" w:hint="eastAsia"/>
          <w:color w:val="000000" w:themeColor="text1"/>
          <w:sz w:val="24"/>
          <w:vertAlign w:val="superscript"/>
        </w:rPr>
        <w:t>-1</w:t>
      </w:r>
      <w:r>
        <w:rPr>
          <w:rFonts w:ascii="Times New Roman" w:hAnsi="Times New Roman" w:cs="Times New Roman" w:hint="eastAsia"/>
          <w:color w:val="000000" w:themeColor="text1"/>
          <w:sz w:val="24"/>
        </w:rPr>
        <w:t xml:space="preserve"> scan rate), linear sweep voltammetry (LSV, 1 mV s</w:t>
      </w:r>
      <w:r>
        <w:rPr>
          <w:rFonts w:ascii="Times New Roman" w:hAnsi="Times New Roman" w:cs="Times New Roman" w:hint="eastAsia"/>
          <w:color w:val="000000" w:themeColor="text1"/>
          <w:sz w:val="24"/>
          <w:vertAlign w:val="superscript"/>
        </w:rPr>
        <w:t>-1</w:t>
      </w:r>
      <w:r>
        <w:rPr>
          <w:rFonts w:ascii="Times New Roman" w:hAnsi="Times New Roman" w:cs="Times New Roman" w:hint="eastAsia"/>
          <w:color w:val="000000" w:themeColor="text1"/>
          <w:sz w:val="24"/>
        </w:rPr>
        <w:t xml:space="preserve"> scan rate), chronoamperometry (CA, at -200 mV overpotential), and response current (-0.35 V - 0.35 V, 1 mV s</w:t>
      </w:r>
      <w:r>
        <w:rPr>
          <w:rFonts w:ascii="Times New Roman" w:hAnsi="Times New Roman" w:cs="Times New Roman" w:hint="eastAsia"/>
          <w:color w:val="000000" w:themeColor="text1"/>
          <w:sz w:val="24"/>
          <w:vertAlign w:val="superscript"/>
        </w:rPr>
        <w:t>-1</w:t>
      </w:r>
      <w:r>
        <w:rPr>
          <w:rFonts w:ascii="Times New Roman" w:hAnsi="Times New Roman" w:cs="Times New Roman" w:hint="eastAsia"/>
          <w:color w:val="000000" w:themeColor="text1"/>
          <w:sz w:val="24"/>
        </w:rPr>
        <w:t xml:space="preserve"> of scan rate) measurements were conducted using a CHI660E electrochemical workstation. A three-electrode setup (Zn foil WE, Pt plate CE, Hg/</w:t>
      </w:r>
      <w:r>
        <w:rPr>
          <w:rFonts w:ascii="Times New Roman" w:eastAsia="等线" w:hAnsi="Times New Roman" w:cs="Times New Roman"/>
          <w:color w:val="000000" w:themeColor="text1"/>
          <w:kern w:val="24"/>
          <w:sz w:val="24"/>
        </w:rPr>
        <w:t>Hg</w:t>
      </w:r>
      <w:r>
        <w:rPr>
          <w:rFonts w:ascii="Times New Roman" w:eastAsia="等线" w:hAnsi="Times New Roman" w:cs="Times New Roman"/>
          <w:color w:val="000000" w:themeColor="text1"/>
          <w:kern w:val="24"/>
          <w:sz w:val="24"/>
          <w:vertAlign w:val="subscript"/>
        </w:rPr>
        <w:t>2</w:t>
      </w:r>
      <w:r>
        <w:rPr>
          <w:rFonts w:ascii="Times New Roman" w:eastAsia="等线" w:hAnsi="Times New Roman" w:cs="Times New Roman"/>
          <w:color w:val="000000" w:themeColor="text1"/>
          <w:kern w:val="24"/>
          <w:sz w:val="24"/>
        </w:rPr>
        <w:t>Cl</w:t>
      </w:r>
      <w:r>
        <w:rPr>
          <w:rFonts w:ascii="Times New Roman" w:eastAsia="等线" w:hAnsi="Times New Roman" w:cs="Times New Roman"/>
          <w:color w:val="000000" w:themeColor="text1"/>
          <w:kern w:val="24"/>
          <w:sz w:val="24"/>
          <w:vertAlign w:val="subscript"/>
        </w:rPr>
        <w:t>2</w:t>
      </w:r>
      <w:r>
        <w:rPr>
          <w:rFonts w:ascii="Times New Roman" w:eastAsia="等线" w:hAnsi="Times New Roman" w:cs="Times New Roman" w:hint="eastAsia"/>
          <w:color w:val="000000" w:themeColor="text1"/>
          <w:kern w:val="24"/>
          <w:sz w:val="24"/>
          <w:vertAlign w:val="subscript"/>
        </w:rPr>
        <w:t xml:space="preserve"> </w:t>
      </w:r>
      <w:r>
        <w:rPr>
          <w:rFonts w:ascii="Times New Roman" w:hAnsi="Times New Roman" w:cs="Times New Roman" w:hint="eastAsia"/>
          <w:color w:val="000000" w:themeColor="text1"/>
          <w:sz w:val="24"/>
        </w:rPr>
        <w:t xml:space="preserve">RE) was employed for </w:t>
      </w:r>
      <w:proofErr w:type="spellStart"/>
      <w:r>
        <w:rPr>
          <w:rFonts w:ascii="Times New Roman" w:hAnsi="Times New Roman" w:cs="Times New Roman" w:hint="eastAsia"/>
          <w:color w:val="000000" w:themeColor="text1"/>
          <w:sz w:val="24"/>
        </w:rPr>
        <w:t>tafel</w:t>
      </w:r>
      <w:proofErr w:type="spellEnd"/>
      <w:r>
        <w:rPr>
          <w:rFonts w:ascii="Times New Roman" w:hAnsi="Times New Roman" w:cs="Times New Roman" w:hint="eastAsia"/>
          <w:color w:val="000000" w:themeColor="text1"/>
          <w:sz w:val="24"/>
        </w:rPr>
        <w:t xml:space="preserve"> curve assessments on a CHI660E workstation. </w:t>
      </w:r>
      <w:r>
        <w:rPr>
          <w:rFonts w:ascii="Times New Roman" w:hAnsi="Times New Roman" w:cs="Times New Roman"/>
          <w:color w:val="000000" w:themeColor="text1"/>
          <w:sz w:val="24"/>
        </w:rPr>
        <w:t>Differential Scanning Calorimet</w:t>
      </w:r>
      <w:r>
        <w:rPr>
          <w:rFonts w:ascii="Times New Roman" w:hAnsi="Times New Roman" w:cs="Times New Roman" w:hint="eastAsia"/>
          <w:color w:val="000000" w:themeColor="text1"/>
          <w:sz w:val="24"/>
        </w:rPr>
        <w:t>ry</w:t>
      </w:r>
      <w:r>
        <w:rPr>
          <w:rFonts w:ascii="Times New Roman" w:hAnsi="Times New Roman" w:cs="Times New Roman"/>
          <w:color w:val="000000" w:themeColor="text1"/>
          <w:sz w:val="24"/>
        </w:rPr>
        <w:t xml:space="preserve"> (DSC) was conducted by Mettler DSC3 using liquid nitrogen for cooling. </w:t>
      </w:r>
      <w:r>
        <w:rPr>
          <w:rFonts w:ascii="Times New Roman" w:hAnsi="Times New Roman" w:cs="Times New Roman" w:hint="eastAsia"/>
          <w:color w:val="000000" w:themeColor="text1"/>
          <w:sz w:val="24"/>
        </w:rPr>
        <w:t xml:space="preserve">Zeta potential data were acquired using a Malvern </w:t>
      </w:r>
      <w:proofErr w:type="spellStart"/>
      <w:r>
        <w:rPr>
          <w:rFonts w:ascii="Times New Roman" w:hAnsi="Times New Roman" w:cs="Times New Roman" w:hint="eastAsia"/>
          <w:color w:val="000000" w:themeColor="text1"/>
          <w:sz w:val="24"/>
        </w:rPr>
        <w:t>Zetasizer</w:t>
      </w:r>
      <w:proofErr w:type="spellEnd"/>
      <w:r>
        <w:rPr>
          <w:rFonts w:ascii="Times New Roman" w:hAnsi="Times New Roman" w:cs="Times New Roman" w:hint="eastAsia"/>
          <w:color w:val="000000" w:themeColor="text1"/>
          <w:sz w:val="24"/>
        </w:rPr>
        <w:t xml:space="preserve"> Nano ZS90 instrument. Suspension samples were created </w:t>
      </w:r>
      <w:proofErr w:type="spellStart"/>
      <w:r>
        <w:rPr>
          <w:rFonts w:ascii="Times New Roman" w:hAnsi="Times New Roman" w:cs="Times New Roman" w:hint="eastAsia"/>
          <w:color w:val="000000" w:themeColor="text1"/>
          <w:sz w:val="24"/>
        </w:rPr>
        <w:t>throughn</w:t>
      </w:r>
      <w:proofErr w:type="spellEnd"/>
      <w:r>
        <w:rPr>
          <w:rFonts w:ascii="Times New Roman" w:hAnsi="Times New Roman" w:cs="Times New Roman" w:hint="eastAsia"/>
          <w:color w:val="000000" w:themeColor="text1"/>
          <w:sz w:val="24"/>
        </w:rPr>
        <w:t xml:space="preserve"> ultrasonication of electrodeposited Zn layers (1 mA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xml:space="preserve">, 5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on Zn foils in electrolytes, resulting in even distributions. Zn||Zn symmetric cells underwent in-situ electrochemical impedance spectroscopy (EIS) testing under galvanostatic cycling (1 mA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xml:space="preserve">), with data captured every 200 s. </w:t>
      </w:r>
      <w:r>
        <w:rPr>
          <w:rFonts w:ascii="Times New Roman" w:hAnsi="Times New Roman" w:cs="Times New Roman"/>
          <w:color w:val="000000" w:themeColor="text1"/>
          <w:sz w:val="24"/>
        </w:rPr>
        <w:t>Inductively Coupled Plasma Mass Spectrometry (ICP-MS) was conducted by Agilent7700.</w:t>
      </w:r>
    </w:p>
    <w:p w14:paraId="79F628EC"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S1.3 </w:t>
      </w:r>
      <w:r>
        <w:rPr>
          <w:rFonts w:ascii="Times New Roman" w:hAnsi="Times New Roman" w:cs="Times New Roman"/>
          <w:b/>
          <w:bCs/>
          <w:i/>
          <w:iCs/>
          <w:color w:val="000000" w:themeColor="text1"/>
          <w:sz w:val="24"/>
        </w:rPr>
        <w:t xml:space="preserve">Theoretical </w:t>
      </w:r>
      <w:r>
        <w:rPr>
          <w:rFonts w:ascii="Times New Roman" w:hAnsi="Times New Roman" w:cs="Times New Roman" w:hint="eastAsia"/>
          <w:b/>
          <w:bCs/>
          <w:i/>
          <w:iCs/>
          <w:color w:val="000000" w:themeColor="text1"/>
          <w:sz w:val="24"/>
        </w:rPr>
        <w:t>c</w:t>
      </w:r>
      <w:r>
        <w:rPr>
          <w:rFonts w:ascii="Times New Roman" w:hAnsi="Times New Roman" w:cs="Times New Roman"/>
          <w:b/>
          <w:bCs/>
          <w:i/>
          <w:iCs/>
          <w:color w:val="000000" w:themeColor="text1"/>
          <w:sz w:val="24"/>
        </w:rPr>
        <w:t xml:space="preserve">omputation </w:t>
      </w:r>
      <w:r>
        <w:rPr>
          <w:rFonts w:ascii="Times New Roman" w:hAnsi="Times New Roman" w:cs="Times New Roman" w:hint="eastAsia"/>
          <w:b/>
          <w:bCs/>
          <w:i/>
          <w:iCs/>
          <w:color w:val="000000" w:themeColor="text1"/>
          <w:sz w:val="24"/>
        </w:rPr>
        <w:t>s</w:t>
      </w:r>
      <w:r>
        <w:rPr>
          <w:rFonts w:ascii="Times New Roman" w:hAnsi="Times New Roman" w:cs="Times New Roman"/>
          <w:b/>
          <w:bCs/>
          <w:i/>
          <w:iCs/>
          <w:color w:val="000000" w:themeColor="text1"/>
          <w:sz w:val="24"/>
        </w:rPr>
        <w:t>ection</w:t>
      </w:r>
    </w:p>
    <w:p w14:paraId="738CEA34"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S1.3.1 M</w:t>
      </w:r>
      <w:r>
        <w:rPr>
          <w:rFonts w:ascii="Times New Roman" w:hAnsi="Times New Roman" w:cs="Times New Roman"/>
          <w:b/>
          <w:bCs/>
          <w:i/>
          <w:iCs/>
          <w:color w:val="000000" w:themeColor="text1"/>
          <w:sz w:val="24"/>
        </w:rPr>
        <w:t xml:space="preserve">olecular electrostatic potential and </w:t>
      </w:r>
      <w:r>
        <w:rPr>
          <w:rFonts w:ascii="Times New Roman" w:hAnsi="Times New Roman" w:cs="Times New Roman" w:hint="eastAsia"/>
          <w:b/>
          <w:bCs/>
          <w:i/>
          <w:iCs/>
          <w:color w:val="000000" w:themeColor="text1"/>
          <w:sz w:val="24"/>
        </w:rPr>
        <w:t>adsorption</w:t>
      </w:r>
      <w:r>
        <w:rPr>
          <w:rFonts w:ascii="Times New Roman" w:hAnsi="Times New Roman" w:cs="Times New Roman"/>
          <w:b/>
          <w:bCs/>
          <w:i/>
          <w:iCs/>
          <w:color w:val="000000" w:themeColor="text1"/>
          <w:sz w:val="24"/>
        </w:rPr>
        <w:t xml:space="preserve"> energy</w:t>
      </w:r>
    </w:p>
    <w:p w14:paraId="0001D27E"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Based on the density functional theory (DFT), a computational method of quantum mechanics, the electrostatic potential and binding energy were calculated using the Materials Studio 2023 software. Specifically, the </w:t>
      </w:r>
      <w:r>
        <w:rPr>
          <w:rFonts w:ascii="Times New Roman" w:eastAsia="宋体" w:hAnsi="Times New Roman"/>
          <w:color w:val="000000" w:themeColor="text1"/>
          <w:sz w:val="24"/>
          <w:szCs w:val="28"/>
        </w:rPr>
        <w:t>generalized gradient approximation</w:t>
      </w:r>
      <w:r>
        <w:rPr>
          <w:rFonts w:ascii="Times New Roman" w:eastAsia="宋体" w:hAnsi="Times New Roman" w:hint="eastAsia"/>
          <w:color w:val="000000" w:themeColor="text1"/>
          <w:sz w:val="24"/>
          <w:szCs w:val="28"/>
        </w:rPr>
        <w:t xml:space="preserve"> (</w:t>
      </w:r>
      <w:r>
        <w:rPr>
          <w:rFonts w:ascii="Times New Roman" w:hAnsi="Times New Roman" w:cs="Times New Roman"/>
          <w:color w:val="000000" w:themeColor="text1"/>
          <w:sz w:val="24"/>
        </w:rPr>
        <w:t>GGA</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 xml:space="preserve"> functional and</w:t>
      </w:r>
      <w:r>
        <w:rPr>
          <w:rFonts w:ascii="Times New Roman" w:eastAsia="等线" w:hAnsi="Times New Roman" w:cs="Times New Roman"/>
          <w:color w:val="000000" w:themeColor="text1"/>
          <w:kern w:val="24"/>
          <w:sz w:val="24"/>
        </w:rPr>
        <w:t xml:space="preserve"> </w:t>
      </w:r>
      <w:proofErr w:type="spellStart"/>
      <w:r>
        <w:rPr>
          <w:rFonts w:ascii="Times New Roman" w:eastAsia="等线" w:hAnsi="Times New Roman" w:cs="Times New Roman"/>
          <w:color w:val="000000" w:themeColor="text1"/>
          <w:kern w:val="24"/>
          <w:sz w:val="24"/>
        </w:rPr>
        <w:t>Perdew</w:t>
      </w:r>
      <w:proofErr w:type="spellEnd"/>
      <w:r>
        <w:rPr>
          <w:rFonts w:ascii="Times New Roman" w:eastAsia="等线" w:hAnsi="Times New Roman" w:cs="Times New Roman"/>
          <w:color w:val="000000" w:themeColor="text1"/>
          <w:kern w:val="24"/>
          <w:sz w:val="24"/>
        </w:rPr>
        <w:t>-Burke-</w:t>
      </w:r>
      <w:proofErr w:type="spellStart"/>
      <w:r>
        <w:rPr>
          <w:rFonts w:ascii="Times New Roman" w:eastAsia="等线" w:hAnsi="Times New Roman" w:cs="Times New Roman"/>
          <w:color w:val="000000" w:themeColor="text1"/>
          <w:kern w:val="24"/>
          <w:sz w:val="24"/>
        </w:rPr>
        <w:t>Ernzerhof</w:t>
      </w:r>
      <w:proofErr w:type="spellEnd"/>
      <w:r>
        <w:rPr>
          <w:rFonts w:ascii="Times New Roman" w:eastAsia="等线" w:hAnsi="Times New Roman" w:cs="Times New Roman" w:hint="eastAsia"/>
          <w:color w:val="000000" w:themeColor="text1"/>
          <w:kern w:val="24"/>
          <w:sz w:val="24"/>
        </w:rPr>
        <w:t xml:space="preserve"> (</w:t>
      </w:r>
      <w:r>
        <w:rPr>
          <w:rFonts w:ascii="Times New Roman" w:hAnsi="Times New Roman" w:cs="Times New Roman"/>
          <w:color w:val="000000" w:themeColor="text1"/>
          <w:sz w:val="24"/>
        </w:rPr>
        <w:t>PBE</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 xml:space="preserve"> basis set were selected for the calculation. All molecular structures were optimized at the GGA/PBE level, followed by the calculation of the molecular electrostatic potential.</w:t>
      </w:r>
    </w:p>
    <w:p w14:paraId="60F4DA27"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S1.3.2 </w:t>
      </w:r>
      <w:r>
        <w:rPr>
          <w:rFonts w:ascii="Times New Roman" w:hAnsi="Times New Roman" w:cs="Times New Roman"/>
          <w:b/>
          <w:bCs/>
          <w:i/>
          <w:iCs/>
          <w:color w:val="000000" w:themeColor="text1"/>
          <w:sz w:val="24"/>
        </w:rPr>
        <w:t>Frontier orbitals</w:t>
      </w:r>
      <w:r>
        <w:rPr>
          <w:rFonts w:ascii="Times New Roman" w:hAnsi="Times New Roman" w:cs="Times New Roman" w:hint="eastAsia"/>
          <w:b/>
          <w:bCs/>
          <w:i/>
          <w:iCs/>
          <w:color w:val="000000" w:themeColor="text1"/>
          <w:sz w:val="24"/>
        </w:rPr>
        <w:t xml:space="preserve">, </w:t>
      </w:r>
      <w:r>
        <w:rPr>
          <w:rFonts w:ascii="Times New Roman" w:hAnsi="Times New Roman" w:cs="Times New Roman"/>
          <w:b/>
          <w:bCs/>
          <w:i/>
          <w:iCs/>
          <w:color w:val="000000" w:themeColor="text1"/>
          <w:sz w:val="24"/>
        </w:rPr>
        <w:t>differential charges</w:t>
      </w:r>
      <w:r>
        <w:rPr>
          <w:rFonts w:ascii="Times New Roman" w:hAnsi="Times New Roman" w:cs="Times New Roman" w:hint="eastAsia"/>
          <w:b/>
          <w:bCs/>
          <w:i/>
          <w:iCs/>
          <w:color w:val="000000" w:themeColor="text1"/>
          <w:sz w:val="24"/>
        </w:rPr>
        <w:t xml:space="preserve"> and adsorption energy</w:t>
      </w:r>
    </w:p>
    <w:p w14:paraId="2C61F4B8"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First-principles calculations were conducted using density functional theory (DFT). The</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exchange-correlation</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 xml:space="preserve">interactions were modeled using the </w:t>
      </w:r>
      <w:proofErr w:type="spellStart"/>
      <w:r>
        <w:rPr>
          <w:rFonts w:ascii="Times New Roman" w:hAnsi="Times New Roman" w:cs="Times New Roman"/>
          <w:color w:val="000000" w:themeColor="text1"/>
          <w:sz w:val="24"/>
        </w:rPr>
        <w:t>Perdew</w:t>
      </w:r>
      <w:proofErr w:type="spellEnd"/>
      <w:r>
        <w:rPr>
          <w:rFonts w:ascii="Times New Roman" w:hAnsi="Times New Roman" w:cs="Times New Roman"/>
          <w:color w:val="000000" w:themeColor="text1"/>
          <w:sz w:val="24"/>
        </w:rPr>
        <w:t>-Burke-</w:t>
      </w:r>
      <w:proofErr w:type="spellStart"/>
      <w:r>
        <w:rPr>
          <w:rFonts w:ascii="Times New Roman" w:hAnsi="Times New Roman" w:cs="Times New Roman"/>
          <w:color w:val="000000" w:themeColor="text1"/>
          <w:sz w:val="24"/>
        </w:rPr>
        <w:lastRenderedPageBreak/>
        <w:t>Ernzerhof</w:t>
      </w:r>
      <w:proofErr w:type="spellEnd"/>
      <w:r>
        <w:rPr>
          <w:rFonts w:ascii="Times New Roman" w:hAnsi="Times New Roman" w:cs="Times New Roman"/>
          <w:color w:val="000000" w:themeColor="text1"/>
          <w:sz w:val="24"/>
        </w:rPr>
        <w:t xml:space="preserve"> (PBE) generalized gradient approximation (GGA). A plane-wave basis set a </w:t>
      </w:r>
      <w:proofErr w:type="gramStart"/>
      <w:r>
        <w:rPr>
          <w:rFonts w:ascii="Times New Roman" w:hAnsi="Times New Roman" w:cs="Times New Roman"/>
          <w:color w:val="000000" w:themeColor="text1"/>
          <w:sz w:val="24"/>
        </w:rPr>
        <w:t>450 eV</w:t>
      </w:r>
      <w:proofErr w:type="gramEnd"/>
      <w:r>
        <w:rPr>
          <w:rFonts w:ascii="Times New Roman" w:hAnsi="Times New Roman" w:cs="Times New Roman"/>
          <w:color w:val="000000" w:themeColor="text1"/>
          <w:sz w:val="24"/>
        </w:rPr>
        <w:t xml:space="preserve"> energy cutoff was utilized for valence electron wavefunction expansion, and Brillouin zone integration was performed using a Γ-centered 4</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 4 × 1 k-point grid. Structural optimizations were performed with convergence criteria of 10</w:t>
      </w:r>
      <w:r>
        <w:rPr>
          <w:rFonts w:ascii="Times New Roman" w:hAnsi="Times New Roman" w:cs="Times New Roman"/>
          <w:color w:val="000000" w:themeColor="text1"/>
          <w:sz w:val="24"/>
          <w:vertAlign w:val="superscript"/>
        </w:rPr>
        <w:t>−5</w:t>
      </w:r>
      <w:r>
        <w:rPr>
          <w:rFonts w:ascii="Times New Roman" w:hAnsi="Times New Roman" w:cs="Times New Roman"/>
          <w:color w:val="000000" w:themeColor="text1"/>
          <w:sz w:val="24"/>
        </w:rPr>
        <w:t xml:space="preserve"> eV for total energy and 0.01 eV</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Å</w:t>
      </w:r>
      <w:r>
        <w:rPr>
          <w:rFonts w:ascii="Times New Roman" w:hAnsi="Times New Roman" w:cs="Times New Roman" w:hint="eastAsia"/>
          <w:color w:val="000000" w:themeColor="text1"/>
          <w:sz w:val="24"/>
          <w:vertAlign w:val="superscript"/>
        </w:rPr>
        <w:t>-1</w:t>
      </w:r>
      <w:r>
        <w:rPr>
          <w:rFonts w:ascii="Times New Roman" w:hAnsi="Times New Roman" w:cs="Times New Roman"/>
          <w:color w:val="000000" w:themeColor="text1"/>
          <w:sz w:val="24"/>
        </w:rPr>
        <w:t xml:space="preserve"> for atomic forces. To eliminate periodic interactions, a 20 Å vacuum layer was implemented along the out-of-plane (z-axis) direction</w:t>
      </w:r>
      <w:r>
        <w:rPr>
          <w:rFonts w:ascii="Times New Roman" w:hAnsi="Times New Roman" w:cs="Times New Roman" w:hint="eastAsia"/>
          <w:color w:val="000000" w:themeColor="text1"/>
          <w:sz w:val="24"/>
        </w:rPr>
        <w:t xml:space="preserve"> and </w:t>
      </w:r>
      <w:r>
        <w:rPr>
          <w:rFonts w:ascii="Times New Roman" w:eastAsia="等线" w:hAnsi="Times New Roman" w:cs="Times New Roman" w:hint="eastAsia"/>
          <w:color w:val="000000" w:themeColor="text1"/>
          <w:kern w:val="24"/>
          <w:sz w:val="24"/>
        </w:rPr>
        <w:t>t</w:t>
      </w:r>
      <w:r>
        <w:rPr>
          <w:rFonts w:ascii="Times New Roman" w:eastAsia="等线" w:hAnsi="Times New Roman" w:cs="Times New Roman"/>
          <w:color w:val="000000" w:themeColor="text1"/>
          <w:kern w:val="24"/>
          <w:sz w:val="24"/>
        </w:rPr>
        <w:t>he (6×4) cells were constructed to model the Zn (101) surface</w:t>
      </w:r>
      <w:r>
        <w:rPr>
          <w:rFonts w:ascii="Times New Roman" w:hAnsi="Times New Roman" w:cs="Times New Roman"/>
          <w:color w:val="000000" w:themeColor="text1"/>
          <w:sz w:val="24"/>
        </w:rPr>
        <w:t>. Structural visualizations were generated using the VESTA software package.</w:t>
      </w:r>
      <w:r>
        <w:rPr>
          <w:rFonts w:ascii="Times New Roman" w:hAnsi="Times New Roman" w:cs="Times New Roman" w:hint="eastAsia"/>
          <w:color w:val="000000" w:themeColor="text1"/>
          <w:sz w:val="24"/>
        </w:rPr>
        <w:t xml:space="preserve"> The adsorption energy was determined according to the following procedure:</w:t>
      </w:r>
    </w:p>
    <w:p w14:paraId="44F6036C" w14:textId="77777777" w:rsidR="000C2399" w:rsidRDefault="00753684" w:rsidP="00533892">
      <w:pPr>
        <w:spacing w:before="120" w:after="120"/>
        <w:ind w:firstLineChars="1500" w:firstLine="3150"/>
        <w:rPr>
          <w:rFonts w:ascii="Times New Roman" w:hAnsi="Times New Roman" w:cs="Times New Roman"/>
          <w:color w:val="000000" w:themeColor="text1"/>
          <w:position w:val="-14"/>
          <w:sz w:val="24"/>
        </w:rPr>
      </w:pPr>
      <w:r>
        <w:rPr>
          <w:rFonts w:hint="eastAsia"/>
          <w:color w:val="000000" w:themeColor="text1"/>
          <w:position w:val="-14"/>
        </w:rPr>
        <w:object w:dxaOrig="2424" w:dyaOrig="385" w14:anchorId="02FB77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1pt;height:19.15pt" o:ole="">
            <v:imagedata r:id="rId7" o:title=""/>
          </v:shape>
          <o:OLEObject Type="Embed" ProgID="Equation.KSEE3" ShapeID="_x0000_i1025" DrawAspect="Content" ObjectID="_1845010483" r:id="rId8"/>
        </w:object>
      </w:r>
      <w:r>
        <w:rPr>
          <w:rFonts w:hint="eastAsia"/>
          <w:color w:val="000000" w:themeColor="text1"/>
          <w:position w:val="-14"/>
        </w:rPr>
        <w:t xml:space="preserve">                     </w:t>
      </w:r>
      <w:r>
        <w:rPr>
          <w:rFonts w:ascii="Times New Roman" w:hAnsi="Times New Roman" w:cs="Times New Roman"/>
          <w:color w:val="000000" w:themeColor="text1"/>
          <w:position w:val="-14"/>
          <w:sz w:val="24"/>
        </w:rPr>
        <w:t>(S1)</w:t>
      </w:r>
    </w:p>
    <w:p w14:paraId="2CEE1223" w14:textId="77777777" w:rsidR="000C2399" w:rsidRDefault="00753684" w:rsidP="00533892">
      <w:pPr>
        <w:spacing w:before="120" w:after="120"/>
        <w:rPr>
          <w:rFonts w:ascii="Times New Roman" w:hAnsi="Times New Roman" w:cs="Times New Roman"/>
          <w:color w:val="000000" w:themeColor="text1"/>
          <w:position w:val="-14"/>
          <w:sz w:val="24"/>
        </w:rPr>
      </w:pPr>
      <w:proofErr w:type="spellStart"/>
      <w:r>
        <w:rPr>
          <w:rFonts w:ascii="Times New Roman" w:hAnsi="Times New Roman" w:cs="Times New Roman"/>
          <w:color w:val="000000" w:themeColor="text1"/>
          <w:position w:val="-14"/>
          <w:sz w:val="24"/>
        </w:rPr>
        <w:t>E</w:t>
      </w:r>
      <w:r>
        <w:rPr>
          <w:rFonts w:ascii="Times New Roman" w:hAnsi="Times New Roman" w:cs="Times New Roman"/>
          <w:color w:val="000000" w:themeColor="text1"/>
          <w:position w:val="-14"/>
          <w:sz w:val="24"/>
          <w:vertAlign w:val="subscript"/>
        </w:rPr>
        <w:t>all</w:t>
      </w:r>
      <w:proofErr w:type="spellEnd"/>
      <w:r>
        <w:rPr>
          <w:rFonts w:ascii="Times New Roman" w:hAnsi="Times New Roman" w:cs="Times New Roman"/>
          <w:color w:val="000000" w:themeColor="text1"/>
          <w:position w:val="-14"/>
          <w:sz w:val="24"/>
        </w:rPr>
        <w:t xml:space="preserve">, </w:t>
      </w:r>
      <w:proofErr w:type="spellStart"/>
      <w:r>
        <w:rPr>
          <w:rFonts w:ascii="Times New Roman" w:hAnsi="Times New Roman" w:cs="Times New Roman"/>
          <w:color w:val="000000" w:themeColor="text1"/>
          <w:position w:val="-14"/>
          <w:sz w:val="24"/>
        </w:rPr>
        <w:t>E</w:t>
      </w:r>
      <w:r>
        <w:rPr>
          <w:rFonts w:ascii="Times New Roman" w:hAnsi="Times New Roman" w:cs="Times New Roman"/>
          <w:color w:val="000000" w:themeColor="text1"/>
          <w:position w:val="-14"/>
          <w:sz w:val="24"/>
          <w:vertAlign w:val="subscript"/>
        </w:rPr>
        <w:t>system</w:t>
      </w:r>
      <w:proofErr w:type="spellEnd"/>
      <w:r>
        <w:rPr>
          <w:rFonts w:ascii="Times New Roman" w:hAnsi="Times New Roman" w:cs="Times New Roman"/>
          <w:color w:val="000000" w:themeColor="text1"/>
          <w:position w:val="-14"/>
          <w:sz w:val="24"/>
        </w:rPr>
        <w:t xml:space="preserve"> and </w:t>
      </w:r>
      <w:proofErr w:type="spellStart"/>
      <w:r>
        <w:rPr>
          <w:rFonts w:ascii="Times New Roman" w:hAnsi="Times New Roman" w:cs="Times New Roman"/>
          <w:color w:val="000000" w:themeColor="text1"/>
          <w:position w:val="-14"/>
          <w:sz w:val="24"/>
        </w:rPr>
        <w:t>E</w:t>
      </w:r>
      <w:r>
        <w:rPr>
          <w:rFonts w:ascii="Times New Roman" w:hAnsi="Times New Roman" w:cs="Times New Roman"/>
          <w:color w:val="000000" w:themeColor="text1"/>
          <w:position w:val="-14"/>
          <w:sz w:val="24"/>
          <w:vertAlign w:val="subscript"/>
        </w:rPr>
        <w:t>ions</w:t>
      </w:r>
      <w:proofErr w:type="spellEnd"/>
      <w:r>
        <w:rPr>
          <w:rFonts w:ascii="Times New Roman" w:hAnsi="Times New Roman" w:cs="Times New Roman"/>
          <w:color w:val="000000" w:themeColor="text1"/>
          <w:position w:val="-14"/>
          <w:sz w:val="24"/>
        </w:rPr>
        <w:t xml:space="preserve"> represent the system's total energy, the bare substrate energy, and the free ion (molecule) energy, respectively, for adsorption scenarios with/without Zn atoms.</w:t>
      </w:r>
    </w:p>
    <w:p w14:paraId="443AA2A1"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S1.4 C</w:t>
      </w:r>
      <w:r>
        <w:rPr>
          <w:rFonts w:ascii="Times New Roman" w:hAnsi="Times New Roman" w:cs="Times New Roman"/>
          <w:b/>
          <w:bCs/>
          <w:i/>
          <w:iCs/>
          <w:color w:val="000000" w:themeColor="text1"/>
          <w:sz w:val="24"/>
        </w:rPr>
        <w:t>alculation formulas</w:t>
      </w:r>
    </w:p>
    <w:p w14:paraId="187DD322"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S1.4.1 Calculation of additive</w:t>
      </w:r>
    </w:p>
    <w:p w14:paraId="2E196E42"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Given that the sulfosuccinate additive is supplied </w:t>
      </w:r>
      <w:r>
        <w:rPr>
          <w:rFonts w:ascii="Times New Roman" w:hAnsi="Times New Roman" w:cs="Times New Roman" w:hint="eastAsia"/>
          <w:color w:val="000000" w:themeColor="text1"/>
          <w:sz w:val="24"/>
        </w:rPr>
        <w:t>as</w:t>
      </w:r>
      <w:r>
        <w:rPr>
          <w:rFonts w:ascii="Times New Roman" w:hAnsi="Times New Roman" w:cs="Times New Roman"/>
          <w:color w:val="000000" w:themeColor="text1"/>
          <w:sz w:val="24"/>
        </w:rPr>
        <w:t xml:space="preserve"> an aqueous solution,</w:t>
      </w:r>
      <w:r>
        <w:rPr>
          <w:rFonts w:ascii="Times New Roman" w:hAnsi="Times New Roman" w:cs="Times New Roman" w:hint="eastAsia"/>
          <w:color w:val="000000" w:themeColor="text1"/>
          <w:sz w:val="24"/>
        </w:rPr>
        <w:t xml:space="preserve"> t</w:t>
      </w:r>
      <w:r>
        <w:rPr>
          <w:rFonts w:ascii="Times New Roman" w:hAnsi="Times New Roman" w:cs="Times New Roman"/>
          <w:color w:val="000000" w:themeColor="text1"/>
          <w:sz w:val="24"/>
        </w:rPr>
        <w:t>he mass calculation for the</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 xml:space="preserve">additive </w:t>
      </w:r>
      <w:r>
        <w:rPr>
          <w:rFonts w:ascii="Times New Roman" w:hAnsi="Times New Roman" w:cs="Times New Roman" w:hint="eastAsia"/>
          <w:color w:val="000000" w:themeColor="text1"/>
          <w:sz w:val="24"/>
        </w:rPr>
        <w:t>refers to</w:t>
      </w:r>
      <w:r>
        <w:rPr>
          <w:rFonts w:ascii="Times New Roman" w:hAnsi="Times New Roman" w:cs="Times New Roman"/>
          <w:color w:val="000000" w:themeColor="text1"/>
          <w:sz w:val="24"/>
        </w:rPr>
        <w:t xml:space="preserve"> the </w:t>
      </w:r>
      <w:r>
        <w:rPr>
          <w:rFonts w:ascii="Times New Roman" w:hAnsi="Times New Roman" w:cs="Times New Roman" w:hint="eastAsia"/>
          <w:color w:val="000000" w:themeColor="text1"/>
          <w:sz w:val="24"/>
        </w:rPr>
        <w:t>solute</w:t>
      </w:r>
      <w:r>
        <w:rPr>
          <w:rFonts w:ascii="Times New Roman" w:hAnsi="Times New Roman" w:cs="Times New Roman"/>
          <w:color w:val="000000" w:themeColor="text1"/>
          <w:sz w:val="24"/>
        </w:rPr>
        <w:t xml:space="preserve"> itself, </w:t>
      </w:r>
      <w:r>
        <w:rPr>
          <w:rFonts w:ascii="Times New Roman" w:hAnsi="Times New Roman" w:cs="Times New Roman" w:hint="eastAsia"/>
          <w:color w:val="000000" w:themeColor="text1"/>
          <w:sz w:val="24"/>
        </w:rPr>
        <w:t>not</w:t>
      </w:r>
      <w:r>
        <w:rPr>
          <w:rFonts w:ascii="Times New Roman" w:hAnsi="Times New Roman" w:cs="Times New Roman"/>
          <w:color w:val="000000" w:themeColor="text1"/>
          <w:sz w:val="24"/>
        </w:rPr>
        <w:t xml:space="preserve"> the total solution</w:t>
      </w:r>
      <w:r>
        <w:rPr>
          <w:rFonts w:ascii="Times New Roman" w:hAnsi="Times New Roman" w:cs="Times New Roman" w:hint="eastAsia"/>
          <w:color w:val="000000" w:themeColor="text1"/>
          <w:sz w:val="24"/>
        </w:rPr>
        <w:t xml:space="preserve"> mass</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Therefore, the calculation formula is as follows:</w:t>
      </w:r>
    </w:p>
    <w:p w14:paraId="20A7A894" w14:textId="77777777" w:rsidR="000C2399" w:rsidRDefault="00BC3AA3" w:rsidP="00533892">
      <w:pPr>
        <w:spacing w:before="120" w:after="120"/>
        <w:ind w:firstLineChars="1500" w:firstLine="3600"/>
        <w:rPr>
          <w:rFonts w:ascii="Times New Roman" w:hAnsi="Times New Roman" w:cs="Times New Roman"/>
          <w:color w:val="000000" w:themeColor="text1"/>
          <w:sz w:val="24"/>
        </w:rPr>
      </w:pPr>
      <m:oMath>
        <m:sSub>
          <m:sSubPr>
            <m:ctrlPr>
              <w:rPr>
                <w:rFonts w:ascii="Cambria Math" w:hAnsi="Cambria Math" w:cs="Times New Roman"/>
                <w:i/>
                <w:color w:val="000000" w:themeColor="text1"/>
                <w:sz w:val="24"/>
              </w:rPr>
            </m:ctrlPr>
          </m:sSubPr>
          <m:e>
            <m:r>
              <m:rPr>
                <m:nor/>
              </m:rPr>
              <w:rPr>
                <w:rFonts w:ascii="Times New Roman" w:hAnsi="Times New Roman" w:cs="Times New Roman"/>
                <w:i/>
                <w:color w:val="000000" w:themeColor="text1"/>
                <w:sz w:val="24"/>
              </w:rPr>
              <m:t>m</m:t>
            </m:r>
          </m:e>
          <m:sub>
            <m:r>
              <m:rPr>
                <m:nor/>
              </m:rPr>
              <w:rPr>
                <w:rFonts w:ascii="Times New Roman" w:eastAsia="宋体" w:hAnsi="Times New Roman" w:cs="Times New Roman"/>
                <w:i/>
                <w:color w:val="000000" w:themeColor="text1"/>
                <w:sz w:val="24"/>
              </w:rPr>
              <m:t>SUSA</m:t>
            </m:r>
          </m:sub>
        </m:sSub>
        <m:r>
          <m:rPr>
            <m:nor/>
          </m:rPr>
          <w:rPr>
            <w:rFonts w:ascii="Times New Roman" w:hAnsi="Times New Roman" w:cs="Times New Roman"/>
            <w:color w:val="000000" w:themeColor="text1"/>
            <w:sz w:val="24"/>
          </w:rPr>
          <m:t>=</m:t>
        </m:r>
        <m:f>
          <m:fPr>
            <m:ctrlPr>
              <w:rPr>
                <w:rFonts w:ascii="Cambria Math" w:hAnsi="Cambria Math" w:cs="Times New Roman"/>
                <w:i/>
                <w:color w:val="000000" w:themeColor="text1"/>
                <w:sz w:val="24"/>
              </w:rPr>
            </m:ctrlPr>
          </m:fPr>
          <m:num>
            <w:proofErr w:type="spellStart"/>
            <m:r>
              <m:rPr>
                <m:nor/>
              </m:rPr>
              <w:rPr>
                <w:rFonts w:ascii="Times New Roman" w:hAnsi="Times New Roman" w:cs="Times New Roman"/>
                <w:i/>
                <w:color w:val="000000" w:themeColor="text1"/>
                <w:sz w:val="24"/>
              </w:rPr>
              <m:t>V×c</m:t>
            </m:r>
            <w:proofErr w:type="spellEnd"/>
            <m:r>
              <m:rPr>
                <m:nor/>
              </m:rPr>
              <w:rPr>
                <w:rFonts w:ascii="Times New Roman" w:hAnsi="Times New Roman" w:cs="Times New Roman"/>
                <w:i/>
                <w:color w:val="000000" w:themeColor="text1"/>
                <w:sz w:val="24"/>
              </w:rPr>
              <m:t>×</m:t>
            </m:r>
            <m:sSub>
              <m:sSubPr>
                <m:ctrlPr>
                  <w:rPr>
                    <w:rFonts w:ascii="Cambria Math" w:hAnsi="Cambria Math" w:cs="Times New Roman"/>
                    <w:i/>
                    <w:color w:val="000000" w:themeColor="text1"/>
                    <w:sz w:val="24"/>
                  </w:rPr>
                </m:ctrlPr>
              </m:sSubPr>
              <m:e>
                <m:r>
                  <m:rPr>
                    <m:nor/>
                  </m:rPr>
                  <w:rPr>
                    <w:rFonts w:ascii="Times New Roman" w:hAnsi="Times New Roman" w:cs="Times New Roman"/>
                    <w:i/>
                    <w:color w:val="000000" w:themeColor="text1"/>
                    <w:sz w:val="24"/>
                  </w:rPr>
                  <m:t>M</m:t>
                </m:r>
              </m:e>
              <m:sub>
                <m:r>
                  <m:rPr>
                    <m:nor/>
                  </m:rPr>
                  <w:rPr>
                    <w:rFonts w:ascii="Times New Roman" w:eastAsia="宋体" w:hAnsi="Times New Roman" w:cs="Times New Roman"/>
                    <w:i/>
                    <w:color w:val="000000" w:themeColor="text1"/>
                    <w:sz w:val="24"/>
                  </w:rPr>
                  <m:t>SUSA</m:t>
                </m:r>
              </m:sub>
            </m:sSub>
          </m:num>
          <m:den>
            <w:proofErr w:type="spellStart"/>
            <m:r>
              <m:rPr>
                <m:nor/>
              </m:rPr>
              <w:rPr>
                <w:rFonts w:ascii="Times New Roman" w:hAnsi="Times New Roman" w:cs="Times New Roman"/>
                <w:i/>
                <w:color w:val="000000" w:themeColor="text1"/>
                <w:sz w:val="24"/>
              </w:rPr>
              <m:t>wt</m:t>
            </m:r>
            <w:proofErr w:type="spellEnd"/>
            <m:r>
              <m:rPr>
                <m:nor/>
              </m:rPr>
              <w:rPr>
                <w:rFonts w:ascii="Times New Roman" w:hAnsi="Times New Roman" w:cs="Times New Roman"/>
                <w:i/>
                <w:color w:val="000000" w:themeColor="text1"/>
                <w:sz w:val="24"/>
              </w:rPr>
              <m:t xml:space="preserve"> % in </m:t>
            </m:r>
            <m:sSub>
              <m:sSubPr>
                <m:ctrlPr>
                  <w:rPr>
                    <w:rFonts w:ascii="Cambria Math" w:hAnsi="Cambria Math" w:cs="Times New Roman"/>
                    <w:i/>
                    <w:color w:val="000000" w:themeColor="text1"/>
                    <w:sz w:val="24"/>
                  </w:rPr>
                </m:ctrlPr>
              </m:sSubPr>
              <m:e>
                <m:r>
                  <m:rPr>
                    <m:nor/>
                  </m:rPr>
                  <w:rPr>
                    <w:rFonts w:ascii="Times New Roman" w:hAnsi="Times New Roman" w:cs="Times New Roman"/>
                    <w:i/>
                    <w:color w:val="000000" w:themeColor="text1"/>
                    <w:sz w:val="24"/>
                  </w:rPr>
                  <m:t>H</m:t>
                </m:r>
              </m:e>
              <m:sub>
                <m:r>
                  <m:rPr>
                    <m:nor/>
                  </m:rPr>
                  <w:rPr>
                    <w:rFonts w:ascii="Times New Roman" w:hAnsi="Times New Roman" w:cs="Times New Roman"/>
                    <w:i/>
                    <w:color w:val="000000" w:themeColor="text1"/>
                    <w:sz w:val="24"/>
                  </w:rPr>
                  <m:t>2</m:t>
                </m:r>
              </m:sub>
            </m:sSub>
            <m:r>
              <m:rPr>
                <m:nor/>
              </m:rPr>
              <w:rPr>
                <w:rFonts w:ascii="Times New Roman" w:hAnsi="Times New Roman" w:cs="Times New Roman"/>
                <w:i/>
                <w:color w:val="000000" w:themeColor="text1"/>
                <w:sz w:val="24"/>
              </w:rPr>
              <m:t>O</m:t>
            </m:r>
          </m:den>
        </m:f>
      </m:oMath>
      <w:r w:rsidR="00753684">
        <w:rPr>
          <w:rFonts w:hAnsi="Cambria Math" w:cs="Times New Roman" w:hint="eastAsia"/>
          <w:color w:val="000000" w:themeColor="text1"/>
          <w:sz w:val="24"/>
        </w:rPr>
        <w:t xml:space="preserve">                      </w:t>
      </w:r>
      <w:r w:rsidR="00753684">
        <w:rPr>
          <w:rFonts w:ascii="Times New Roman" w:hAnsi="Times New Roman" w:cs="Times New Roman"/>
          <w:color w:val="000000" w:themeColor="text1"/>
          <w:position w:val="-14"/>
          <w:sz w:val="24"/>
        </w:rPr>
        <w:t>(S</w:t>
      </w:r>
      <w:r w:rsidR="00753684">
        <w:rPr>
          <w:rFonts w:ascii="Times New Roman" w:hAnsi="Times New Roman" w:cs="Times New Roman" w:hint="eastAsia"/>
          <w:color w:val="000000" w:themeColor="text1"/>
          <w:position w:val="-14"/>
          <w:sz w:val="24"/>
        </w:rPr>
        <w:t>2</w:t>
      </w:r>
      <w:r w:rsidR="00753684">
        <w:rPr>
          <w:rFonts w:ascii="Times New Roman" w:hAnsi="Times New Roman" w:cs="Times New Roman"/>
          <w:color w:val="000000" w:themeColor="text1"/>
          <w:position w:val="-14"/>
          <w:sz w:val="24"/>
        </w:rPr>
        <w:t>)</w:t>
      </w:r>
    </w:p>
    <w:p w14:paraId="5AFAFDFF"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Here, V is the total volume of the electrolyte, c </w:t>
      </w:r>
      <w:r>
        <w:rPr>
          <w:rFonts w:ascii="Times New Roman" w:hAnsi="Times New Roman" w:cs="Times New Roman" w:hint="eastAsia"/>
          <w:color w:val="000000" w:themeColor="text1"/>
          <w:sz w:val="24"/>
        </w:rPr>
        <w:t>stands</w:t>
      </w:r>
      <w:r>
        <w:rPr>
          <w:rFonts w:ascii="Times New Roman" w:hAnsi="Times New Roman" w:cs="Times New Roman"/>
          <w:color w:val="000000" w:themeColor="text1"/>
          <w:sz w:val="24"/>
        </w:rPr>
        <w:t xml:space="preserve"> the molar concentration of the target additive, and M </w:t>
      </w:r>
      <w:r>
        <w:rPr>
          <w:rFonts w:ascii="Times New Roman" w:hAnsi="Times New Roman" w:cs="Times New Roman" w:hint="eastAsia"/>
          <w:color w:val="000000" w:themeColor="text1"/>
          <w:sz w:val="24"/>
        </w:rPr>
        <w:t>signifies</w:t>
      </w:r>
      <w:r>
        <w:rPr>
          <w:rFonts w:ascii="Times New Roman" w:hAnsi="Times New Roman" w:cs="Times New Roman"/>
          <w:color w:val="000000" w:themeColor="text1"/>
          <w:sz w:val="24"/>
        </w:rPr>
        <w:t xml:space="preserve"> its molar mass.</w:t>
      </w:r>
    </w:p>
    <w:p w14:paraId="69EEFD5F"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i/>
          <w:iCs/>
          <w:color w:val="000000" w:themeColor="text1"/>
          <w:sz w:val="24"/>
        </w:rPr>
        <w:t xml:space="preserve">S1.4.2 </w:t>
      </w:r>
      <w:r>
        <w:rPr>
          <w:rFonts w:ascii="Times New Roman" w:hAnsi="Times New Roman" w:cs="Times New Roman"/>
          <w:b/>
          <w:bCs/>
          <w:i/>
          <w:iCs/>
          <w:color w:val="000000" w:themeColor="text1"/>
          <w:sz w:val="24"/>
        </w:rPr>
        <w:t>Calculation of EDLC</w:t>
      </w:r>
      <w:r>
        <w:rPr>
          <w:rFonts w:ascii="Times New Roman" w:hAnsi="Times New Roman" w:cs="Times New Roman"/>
          <w:b/>
          <w:bCs/>
          <w:color w:val="000000" w:themeColor="text1"/>
          <w:sz w:val="24"/>
        </w:rPr>
        <w:br/>
      </w:r>
      <w:r>
        <w:rPr>
          <w:rFonts w:ascii="Times New Roman" w:hAnsi="Times New Roman" w:cs="Times New Roman"/>
          <w:color w:val="000000" w:themeColor="text1"/>
          <w:sz w:val="24"/>
        </w:rPr>
        <w:t xml:space="preserve">Following earlier studies, EDLC values were computed via the expression: </w:t>
      </w:r>
    </w:p>
    <w:p w14:paraId="107B0845" w14:textId="77777777" w:rsidR="000C2399" w:rsidRDefault="00753684" w:rsidP="00533892">
      <w:pPr>
        <w:spacing w:before="120" w:after="120"/>
        <w:ind w:firstLineChars="1700" w:firstLine="4096"/>
        <w:rPr>
          <w:rFonts w:ascii="Times New Roman" w:hAnsi="Times New Roman" w:cs="Times New Roman"/>
          <w:color w:val="000000" w:themeColor="text1"/>
          <w:sz w:val="24"/>
        </w:rPr>
      </w:pPr>
      <w:r>
        <w:rPr>
          <w:rFonts w:ascii="Times New Roman" w:hAnsi="Times New Roman" w:cs="Times New Roman"/>
          <w:b/>
          <w:bCs/>
          <w:i/>
          <w:iCs/>
          <w:color w:val="000000" w:themeColor="text1"/>
          <w:position w:val="-24"/>
          <w:sz w:val="24"/>
        </w:rPr>
        <w:object w:dxaOrig="927" w:dyaOrig="613" w14:anchorId="04372A49">
          <v:shape id="_x0000_i1026" type="#_x0000_t75" style="width:46.3pt;height:30.85pt" o:ole="">
            <v:imagedata r:id="rId9" o:title=""/>
          </v:shape>
          <o:OLEObject Type="Embed" ProgID="Equation.KSEE3" ShapeID="_x0000_i1026" DrawAspect="Content" ObjectID="_1845010484" r:id="rId10"/>
        </w:object>
      </w:r>
      <w:r>
        <w:rPr>
          <w:rFonts w:ascii="Times New Roman" w:hAnsi="Times New Roman" w:cs="Times New Roman" w:hint="eastAsia"/>
          <w:b/>
          <w:bCs/>
          <w:i/>
          <w:iCs/>
          <w:color w:val="000000" w:themeColor="text1"/>
          <w:position w:val="-24"/>
          <w:sz w:val="24"/>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3</w:t>
      </w:r>
      <w:r>
        <w:rPr>
          <w:rFonts w:ascii="Times New Roman" w:hAnsi="Times New Roman" w:cs="Times New Roman"/>
          <w:color w:val="000000" w:themeColor="text1"/>
          <w:position w:val="-14"/>
          <w:sz w:val="24"/>
        </w:rPr>
        <w:t>)</w:t>
      </w:r>
    </w:p>
    <w:p w14:paraId="5AF901FA"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In this, C</w:t>
      </w:r>
      <w:r>
        <w:rPr>
          <w:rFonts w:ascii="Times New Roman" w:hAnsi="Times New Roman" w:cs="Times New Roman" w:hint="eastAsia"/>
          <w:color w:val="000000" w:themeColor="text1"/>
          <w:sz w:val="24"/>
          <w:vertAlign w:val="subscript"/>
        </w:rPr>
        <w:t>EDL</w:t>
      </w:r>
      <w:r>
        <w:rPr>
          <w:rFonts w:ascii="Times New Roman" w:hAnsi="Times New Roman" w:cs="Times New Roman"/>
          <w:color w:val="000000" w:themeColor="text1"/>
          <w:sz w:val="24"/>
        </w:rPr>
        <w:t xml:space="preserve"> stands for capacitance, and </w:t>
      </w:r>
      <w:proofErr w:type="spellStart"/>
      <w:r>
        <w:rPr>
          <w:rFonts w:ascii="Times New Roman" w:hAnsi="Times New Roman" w:cs="Times New Roman"/>
          <w:color w:val="000000" w:themeColor="text1"/>
          <w:sz w:val="24"/>
        </w:rPr>
        <w:t>i</w:t>
      </w:r>
      <w:proofErr w:type="spellEnd"/>
      <w:r>
        <w:rPr>
          <w:rFonts w:ascii="Times New Roman" w:hAnsi="Times New Roman" w:cs="Times New Roman"/>
          <w:color w:val="000000" w:themeColor="text1"/>
          <w:sz w:val="24"/>
        </w:rPr>
        <w:t xml:space="preserve"> signifies the current deviation at the scan voltage midpoint for each scan rate.</w:t>
      </w:r>
    </w:p>
    <w:p w14:paraId="1DCDB587"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i/>
          <w:iCs/>
          <w:color w:val="000000" w:themeColor="text1"/>
          <w:sz w:val="24"/>
        </w:rPr>
        <w:t xml:space="preserve">S1.4.3 </w:t>
      </w:r>
      <w:r>
        <w:rPr>
          <w:rFonts w:ascii="Times New Roman" w:hAnsi="Times New Roman" w:cs="Times New Roman"/>
          <w:b/>
          <w:bCs/>
          <w:i/>
          <w:iCs/>
          <w:color w:val="000000" w:themeColor="text1"/>
          <w:sz w:val="24"/>
        </w:rPr>
        <w:t xml:space="preserve">Calculation of </w:t>
      </w:r>
      <w:r>
        <w:rPr>
          <w:rFonts w:ascii="Times New Roman" w:hAnsi="Times New Roman" w:cs="Times New Roman" w:hint="eastAsia"/>
          <w:b/>
          <w:bCs/>
          <w:i/>
          <w:iCs/>
          <w:color w:val="000000" w:themeColor="text1"/>
          <w:sz w:val="24"/>
        </w:rPr>
        <w:t>c</w:t>
      </w:r>
      <w:r>
        <w:rPr>
          <w:rFonts w:ascii="Times New Roman" w:hAnsi="Times New Roman" w:cs="Times New Roman"/>
          <w:b/>
          <w:bCs/>
          <w:i/>
          <w:iCs/>
          <w:color w:val="000000" w:themeColor="text1"/>
          <w:sz w:val="24"/>
        </w:rPr>
        <w:t xml:space="preserve">apacity of the inner Helmholtz layer </w:t>
      </w:r>
      <w:r>
        <w:rPr>
          <w:rFonts w:ascii="Times New Roman" w:hAnsi="Times New Roman" w:cs="Times New Roman" w:hint="eastAsia"/>
          <w:b/>
          <w:bCs/>
          <w:i/>
          <w:iCs/>
          <w:color w:val="000000" w:themeColor="text1"/>
          <w:sz w:val="24"/>
        </w:rPr>
        <w:t>(C</w:t>
      </w:r>
      <w:r>
        <w:rPr>
          <w:rFonts w:ascii="Times New Roman" w:hAnsi="Times New Roman" w:cs="Times New Roman" w:hint="eastAsia"/>
          <w:b/>
          <w:bCs/>
          <w:i/>
          <w:iCs/>
          <w:color w:val="000000" w:themeColor="text1"/>
          <w:sz w:val="24"/>
          <w:vertAlign w:val="subscript"/>
        </w:rPr>
        <w:t>H</w:t>
      </w:r>
      <w:r>
        <w:rPr>
          <w:rFonts w:ascii="Times New Roman" w:hAnsi="Times New Roman" w:cs="Times New Roman" w:hint="eastAsia"/>
          <w:b/>
          <w:bCs/>
          <w:i/>
          <w:iCs/>
          <w:color w:val="000000" w:themeColor="text1"/>
          <w:sz w:val="24"/>
        </w:rPr>
        <w:t>)</w:t>
      </w:r>
      <w:r>
        <w:rPr>
          <w:rFonts w:ascii="Times New Roman" w:hAnsi="Times New Roman" w:cs="Times New Roman" w:hint="eastAsia"/>
          <w:color w:val="000000" w:themeColor="text1"/>
          <w:sz w:val="24"/>
        </w:rPr>
        <w:t xml:space="preserve"> [S1]</w:t>
      </w:r>
    </w:p>
    <w:p w14:paraId="77B9D07C"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2 M </w:t>
      </w:r>
      <w:r>
        <w:rPr>
          <w:rFonts w:ascii="Times New Roman" w:hAnsi="Times New Roman" w:cs="Times New Roman"/>
          <w:color w:val="000000" w:themeColor="text1"/>
          <w:sz w:val="24"/>
        </w:rPr>
        <w:t>ZnSO</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 xml:space="preserve"> was substituted with 1 M Na</w:t>
      </w:r>
      <w:r>
        <w:rPr>
          <w:rFonts w:ascii="Times New Roman" w:hAnsi="Times New Roman" w:cs="Times New Roman" w:hint="eastAsia"/>
          <w:color w:val="000000" w:themeColor="text1"/>
          <w:sz w:val="24"/>
          <w:vertAlign w:val="subscript"/>
        </w:rPr>
        <w:t>2</w:t>
      </w:r>
      <w:r>
        <w:rPr>
          <w:rFonts w:ascii="Times New Roman" w:hAnsi="Times New Roman" w:cs="Times New Roman"/>
          <w:color w:val="000000" w:themeColor="text1"/>
          <w:sz w:val="24"/>
        </w:rPr>
        <w:t>SO</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 xml:space="preserve"> to eliminate Faraday current influence.</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 xml:space="preserve">LSV </w:t>
      </w:r>
      <w:r>
        <w:rPr>
          <w:rFonts w:ascii="Times New Roman" w:hAnsi="Times New Roman" w:cs="Times New Roman" w:hint="eastAsia"/>
          <w:color w:val="000000" w:themeColor="text1"/>
          <w:sz w:val="24"/>
        </w:rPr>
        <w:t>test</w:t>
      </w:r>
      <w:r>
        <w:rPr>
          <w:rFonts w:ascii="Times New Roman" w:hAnsi="Times New Roman" w:cs="Times New Roman"/>
          <w:color w:val="000000" w:themeColor="text1"/>
          <w:sz w:val="24"/>
        </w:rPr>
        <w:t xml:space="preserve"> w</w:t>
      </w:r>
      <w:r>
        <w:rPr>
          <w:rFonts w:ascii="Times New Roman" w:hAnsi="Times New Roman" w:cs="Times New Roman" w:hint="eastAsia"/>
          <w:color w:val="000000" w:themeColor="text1"/>
          <w:sz w:val="24"/>
        </w:rPr>
        <w:t>as</w:t>
      </w:r>
      <w:r>
        <w:rPr>
          <w:rFonts w:ascii="Times New Roman" w:hAnsi="Times New Roman" w:cs="Times New Roman"/>
          <w:color w:val="000000" w:themeColor="text1"/>
          <w:sz w:val="24"/>
        </w:rPr>
        <w:t xml:space="preserve"> executed to pinpoint the voltage span for EDL capacitance evaluation. Minimal current from -1.0</w:t>
      </w:r>
      <w:r>
        <w:rPr>
          <w:rFonts w:ascii="Times New Roman" w:hAnsi="Times New Roman" w:cs="Times New Roman" w:hint="eastAsia"/>
          <w:color w:val="000000" w:themeColor="text1"/>
          <w:sz w:val="24"/>
        </w:rPr>
        <w:t>32</w:t>
      </w:r>
      <w:r>
        <w:rPr>
          <w:rFonts w:ascii="Times New Roman" w:hAnsi="Times New Roman" w:cs="Times New Roman"/>
          <w:color w:val="000000" w:themeColor="text1"/>
          <w:sz w:val="24"/>
        </w:rPr>
        <w:t xml:space="preserve"> to -1.3</w:t>
      </w:r>
      <w:r>
        <w:rPr>
          <w:rFonts w:ascii="Times New Roman" w:hAnsi="Times New Roman" w:cs="Times New Roman" w:hint="eastAsia"/>
          <w:color w:val="000000" w:themeColor="text1"/>
          <w:sz w:val="24"/>
        </w:rPr>
        <w:t>5</w:t>
      </w:r>
      <w:r>
        <w:rPr>
          <w:rFonts w:ascii="Times New Roman" w:hAnsi="Times New Roman" w:cs="Times New Roman"/>
          <w:color w:val="000000" w:themeColor="text1"/>
          <w:sz w:val="24"/>
        </w:rPr>
        <w:t xml:space="preserve"> V signified an EDL zone absent of charge/discharge. </w:t>
      </w:r>
      <w:r>
        <w:rPr>
          <w:rFonts w:ascii="Times New Roman" w:hAnsi="Times New Roman" w:cs="Times New Roman" w:hint="eastAsia"/>
          <w:color w:val="000000" w:themeColor="text1"/>
          <w:sz w:val="24"/>
        </w:rPr>
        <w:t>Specifically</w:t>
      </w:r>
      <w:r>
        <w:rPr>
          <w:rFonts w:ascii="Times New Roman" w:hAnsi="Times New Roman" w:cs="Times New Roman"/>
          <w:color w:val="000000" w:themeColor="text1"/>
          <w:sz w:val="24"/>
        </w:rPr>
        <w:t>, EDL features a diffusion layer</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DL</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 xml:space="preserve"> and compact layer</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CL</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 with the CL containing inner</w:t>
      </w:r>
      <w:r>
        <w:rPr>
          <w:rFonts w:ascii="Times New Roman" w:hAnsi="Times New Roman" w:cs="Times New Roman" w:hint="eastAsia"/>
          <w:color w:val="000000" w:themeColor="text1"/>
          <w:sz w:val="24"/>
        </w:rPr>
        <w:t>/outer</w:t>
      </w:r>
      <w:r>
        <w:rPr>
          <w:rFonts w:ascii="Times New Roman" w:hAnsi="Times New Roman" w:cs="Times New Roman"/>
          <w:color w:val="000000" w:themeColor="text1"/>
          <w:sz w:val="24"/>
        </w:rPr>
        <w:t xml:space="preserve"> Helmholtz layer</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IHP</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OHP</w:t>
      </w:r>
      <w:r>
        <w:rPr>
          <w:rFonts w:ascii="Times New Roman" w:hAnsi="Times New Roman" w:cs="Times New Roman" w:hint="eastAsia"/>
          <w:color w:val="000000" w:themeColor="text1"/>
          <w:sz w:val="24"/>
        </w:rPr>
        <w:t>)</w:t>
      </w:r>
      <w:r>
        <w:rPr>
          <w:rFonts w:ascii="Times New Roman" w:hAnsi="Times New Roman" w:cs="Times New Roman"/>
          <w:color w:val="000000" w:themeColor="text1"/>
          <w:sz w:val="24"/>
        </w:rPr>
        <w:t>. Typically, OHP capacitance is overlooked given its substantial dielectric value, enabling the double-layer capacitance representation as:</w:t>
      </w:r>
    </w:p>
    <w:p w14:paraId="2E801A16" w14:textId="77777777" w:rsidR="000C2399" w:rsidRDefault="00753684" w:rsidP="00533892">
      <w:pPr>
        <w:spacing w:before="120" w:after="120"/>
        <w:ind w:firstLineChars="1800" w:firstLine="3780"/>
        <w:rPr>
          <w:color w:val="000000" w:themeColor="text1"/>
          <w:position w:val="-30"/>
        </w:rPr>
      </w:pPr>
      <w:r>
        <w:rPr>
          <w:rFonts w:hint="eastAsia"/>
          <w:color w:val="000000" w:themeColor="text1"/>
          <w:position w:val="-30"/>
        </w:rPr>
        <w:object w:dxaOrig="1526" w:dyaOrig="684" w14:anchorId="535DF249">
          <v:shape id="_x0000_i1027" type="#_x0000_t75" style="width:76.2pt;height:34.15pt" o:ole="">
            <v:imagedata r:id="rId11" o:title=""/>
          </v:shape>
          <o:OLEObject Type="Embed" ProgID="Equation.KSEE3" ShapeID="_x0000_i1027" DrawAspect="Content" ObjectID="_1845010485" r:id="rId12"/>
        </w:object>
      </w:r>
      <w:r>
        <w:rPr>
          <w:rFonts w:hint="eastAsia"/>
          <w:color w:val="000000" w:themeColor="text1"/>
          <w:position w:val="-30"/>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4</w:t>
      </w:r>
      <w:r>
        <w:rPr>
          <w:rFonts w:ascii="Times New Roman" w:hAnsi="Times New Roman" w:cs="Times New Roman"/>
          <w:color w:val="000000" w:themeColor="text1"/>
          <w:position w:val="-14"/>
          <w:sz w:val="24"/>
        </w:rPr>
        <w:t>)</w:t>
      </w:r>
    </w:p>
    <w:p w14:paraId="03758D58"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In which</w:t>
      </w:r>
      <w:r>
        <w:rPr>
          <w:rFonts w:ascii="Times New Roman" w:hAnsi="Times New Roman" w:cs="Times New Roman" w:hint="eastAsia"/>
          <w:color w:val="000000" w:themeColor="text1"/>
          <w:sz w:val="24"/>
        </w:rPr>
        <w:t xml:space="preserve"> C</w:t>
      </w:r>
      <w:r>
        <w:rPr>
          <w:rFonts w:ascii="Times New Roman" w:hAnsi="Times New Roman" w:cs="Times New Roman" w:hint="eastAsia"/>
          <w:color w:val="000000" w:themeColor="text1"/>
          <w:sz w:val="24"/>
          <w:vertAlign w:val="subscript"/>
        </w:rPr>
        <w:t>d</w:t>
      </w:r>
      <w:r>
        <w:rPr>
          <w:rFonts w:ascii="Times New Roman" w:hAnsi="Times New Roman" w:cs="Times New Roman" w:hint="eastAsia"/>
          <w:color w:val="000000" w:themeColor="text1"/>
          <w:sz w:val="24"/>
        </w:rPr>
        <w:t>, C</w:t>
      </w:r>
      <w:r>
        <w:rPr>
          <w:rFonts w:ascii="Times New Roman" w:hAnsi="Times New Roman" w:cs="Times New Roman" w:hint="eastAsia"/>
          <w:color w:val="000000" w:themeColor="text1"/>
          <w:sz w:val="24"/>
          <w:vertAlign w:val="subscript"/>
        </w:rPr>
        <w:t>H</w:t>
      </w:r>
      <w:r>
        <w:rPr>
          <w:rFonts w:ascii="Times New Roman" w:hAnsi="Times New Roman" w:cs="Times New Roman" w:hint="eastAsia"/>
          <w:color w:val="000000" w:themeColor="text1"/>
          <w:sz w:val="24"/>
        </w:rPr>
        <w:t xml:space="preserve"> and C</w:t>
      </w:r>
      <w:r>
        <w:rPr>
          <w:rFonts w:ascii="Times New Roman" w:hAnsi="Times New Roman" w:cs="Times New Roman" w:hint="eastAsia"/>
          <w:color w:val="000000" w:themeColor="text1"/>
          <w:sz w:val="24"/>
          <w:vertAlign w:val="subscript"/>
        </w:rPr>
        <w:t>D</w:t>
      </w:r>
      <w:r>
        <w:rPr>
          <w:rFonts w:ascii="Times New Roman" w:hAnsi="Times New Roman" w:cs="Times New Roman" w:hint="eastAsia"/>
          <w:color w:val="000000" w:themeColor="text1"/>
          <w:sz w:val="24"/>
        </w:rPr>
        <w:t xml:space="preserve"> indicate capacity of EDL, IHP and DL.</w:t>
      </w:r>
    </w:p>
    <w:p w14:paraId="4FBC2A28"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The </w:t>
      </w:r>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d</w:t>
      </w:r>
      <w:r>
        <w:rPr>
          <w:rFonts w:ascii="Times New Roman" w:hAnsi="Times New Roman" w:cs="Times New Roman"/>
          <w:color w:val="000000" w:themeColor="text1"/>
          <w:sz w:val="24"/>
        </w:rPr>
        <w:t xml:space="preserve"> can be determined through electrochemical impedance spectroscopy, and subsequently converted in accordance </w:t>
      </w:r>
      <w:r>
        <w:rPr>
          <w:rFonts w:ascii="Times New Roman" w:hAnsi="Times New Roman" w:cs="Times New Roman" w:hint="eastAsia"/>
          <w:color w:val="000000" w:themeColor="text1"/>
          <w:sz w:val="24"/>
        </w:rPr>
        <w:t>as</w:t>
      </w:r>
      <w:r>
        <w:rPr>
          <w:rFonts w:ascii="Times New Roman" w:hAnsi="Times New Roman" w:cs="Times New Roman"/>
          <w:color w:val="000000" w:themeColor="text1"/>
          <w:sz w:val="24"/>
        </w:rPr>
        <w:t>:</w:t>
      </w:r>
    </w:p>
    <w:p w14:paraId="00AA1B6C" w14:textId="77777777" w:rsidR="000C2399" w:rsidRDefault="00753684" w:rsidP="00533892">
      <w:pPr>
        <w:spacing w:before="120" w:after="120"/>
        <w:ind w:firstLineChars="1800" w:firstLine="3780"/>
        <w:rPr>
          <w:color w:val="000000" w:themeColor="text1"/>
          <w:position w:val="-30"/>
        </w:rPr>
      </w:pPr>
      <w:r>
        <w:rPr>
          <w:rFonts w:hint="eastAsia"/>
          <w:color w:val="000000" w:themeColor="text1"/>
          <w:position w:val="-30"/>
        </w:rPr>
        <w:object w:dxaOrig="1426" w:dyaOrig="684" w14:anchorId="5624BB17">
          <v:shape id="_x0000_i1028" type="#_x0000_t75" style="width:71.55pt;height:34.15pt" o:ole="">
            <v:imagedata r:id="rId13" o:title=""/>
          </v:shape>
          <o:OLEObject Type="Embed" ProgID="Equation.KSEE3" ShapeID="_x0000_i1028" DrawAspect="Content" ObjectID="_1845010486" r:id="rId14"/>
        </w:object>
      </w:r>
      <w:r>
        <w:rPr>
          <w:rFonts w:hint="eastAsia"/>
          <w:color w:val="000000" w:themeColor="text1"/>
          <w:position w:val="-30"/>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5</w:t>
      </w:r>
      <w:r>
        <w:rPr>
          <w:rFonts w:ascii="Times New Roman" w:hAnsi="Times New Roman" w:cs="Times New Roman"/>
          <w:color w:val="000000" w:themeColor="text1"/>
          <w:position w:val="-14"/>
          <w:sz w:val="24"/>
        </w:rPr>
        <w:t>)</w:t>
      </w:r>
    </w:p>
    <w:p w14:paraId="18EABE60"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In which </w:t>
      </w:r>
      <w:r>
        <w:rPr>
          <w:rFonts w:ascii="Times New Roman" w:hAnsi="Times New Roman" w:cs="Times New Roman"/>
          <w:color w:val="000000" w:themeColor="text1"/>
          <w:sz w:val="24"/>
        </w:rPr>
        <w:t xml:space="preserve">f (Hz) </w:t>
      </w:r>
      <w:r>
        <w:rPr>
          <w:rFonts w:ascii="Times New Roman" w:hAnsi="Times New Roman" w:cs="Times New Roman" w:hint="eastAsia"/>
          <w:color w:val="000000" w:themeColor="text1"/>
          <w:sz w:val="24"/>
        </w:rPr>
        <w:t>stands for</w:t>
      </w:r>
      <w:r>
        <w:rPr>
          <w:rFonts w:ascii="Times New Roman" w:hAnsi="Times New Roman" w:cs="Times New Roman"/>
          <w:color w:val="000000" w:themeColor="text1"/>
          <w:sz w:val="24"/>
        </w:rPr>
        <w:t xml:space="preserve"> the impedance test frequency (10 Hz). </w:t>
      </w:r>
      <w:proofErr w:type="spellStart"/>
      <w:r>
        <w:rPr>
          <w:rFonts w:ascii="Times New Roman" w:hAnsi="Times New Roman" w:cs="Times New Roman"/>
          <w:color w:val="000000" w:themeColor="text1"/>
          <w:sz w:val="24"/>
        </w:rPr>
        <w:t>Z</w:t>
      </w:r>
      <w:r>
        <w:rPr>
          <w:rFonts w:ascii="Times New Roman" w:hAnsi="Times New Roman" w:cs="Times New Roman"/>
          <w:color w:val="000000" w:themeColor="text1"/>
          <w:sz w:val="24"/>
          <w:vertAlign w:val="subscript"/>
        </w:rPr>
        <w:t>im</w:t>
      </w:r>
      <w:proofErr w:type="spellEnd"/>
      <w:r>
        <w:rPr>
          <w:rFonts w:ascii="Times New Roman" w:hAnsi="Times New Roman" w:cs="Times New Roman"/>
          <w:color w:val="000000" w:themeColor="text1"/>
          <w:sz w:val="24"/>
        </w:rPr>
        <w:t xml:space="preserve"> (Ω) indicates the imaginary impedance component. With DL capacitance </w:t>
      </w:r>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D</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treated as invariant, IHP changes can be derived as follows:</w:t>
      </w:r>
    </w:p>
    <w:p w14:paraId="00962EF0" w14:textId="77777777" w:rsidR="000C2399" w:rsidRDefault="00753684" w:rsidP="00533892">
      <w:pPr>
        <w:spacing w:before="120" w:after="120"/>
        <w:ind w:firstLineChars="1700" w:firstLine="3570"/>
        <w:rPr>
          <w:color w:val="000000" w:themeColor="text1"/>
          <w:position w:val="-30"/>
        </w:rPr>
      </w:pPr>
      <w:r>
        <w:rPr>
          <w:rFonts w:hint="eastAsia"/>
          <w:color w:val="000000" w:themeColor="text1"/>
          <w:position w:val="-30"/>
        </w:rPr>
        <w:object w:dxaOrig="2053" w:dyaOrig="684" w14:anchorId="5A2A5771">
          <v:shape id="_x0000_i1029" type="#_x0000_t75" style="width:102.85pt;height:34.15pt" o:ole="">
            <v:imagedata r:id="rId15" o:title=""/>
          </v:shape>
          <o:OLEObject Type="Embed" ProgID="Equation.KSEE3" ShapeID="_x0000_i1029" DrawAspect="Content" ObjectID="_1845010487" r:id="rId16"/>
        </w:object>
      </w:r>
      <w:r>
        <w:rPr>
          <w:rFonts w:hint="eastAsia"/>
          <w:color w:val="000000" w:themeColor="text1"/>
          <w:position w:val="-30"/>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6</w:t>
      </w:r>
      <w:r>
        <w:rPr>
          <w:rFonts w:ascii="Times New Roman" w:hAnsi="Times New Roman" w:cs="Times New Roman"/>
          <w:color w:val="000000" w:themeColor="text1"/>
          <w:position w:val="-14"/>
          <w:sz w:val="24"/>
        </w:rPr>
        <w:t>)</w:t>
      </w:r>
    </w:p>
    <w:p w14:paraId="1C9365CC"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Wherein,</w:t>
      </w:r>
      <w:r>
        <w:rPr>
          <w:rFonts w:ascii="Times New Roman" w:hAnsi="Times New Roman" w:cs="Times New Roman" w:hint="eastAsia"/>
          <w:color w:val="000000" w:themeColor="text1"/>
          <w:sz w:val="24"/>
        </w:rPr>
        <w:t xml:space="preserve"> C</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vertAlign w:val="subscript"/>
        </w:rPr>
        <w:t>H</w:t>
      </w:r>
      <w:r>
        <w:rPr>
          <w:rFonts w:ascii="Times New Roman" w:hAnsi="Times New Roman" w:cs="Times New Roman" w:hint="eastAsia"/>
          <w:color w:val="000000" w:themeColor="text1"/>
          <w:sz w:val="24"/>
        </w:rPr>
        <w:t xml:space="preserve"> shows negligible variation with potential and can therefore be treated as a constant (</w:t>
      </w:r>
      <w:r>
        <w:rPr>
          <w:rFonts w:ascii="Times New Roman" w:hAnsi="Times New Roman" w:cs="Times New Roman"/>
          <w:color w:val="000000" w:themeColor="text1"/>
          <w:sz w:val="24"/>
        </w:rPr>
        <w:t>X</w:t>
      </w:r>
      <w:r>
        <w:rPr>
          <w:rFonts w:ascii="Times New Roman" w:hAnsi="Times New Roman" w:cs="Times New Roman" w:hint="eastAsia"/>
          <w:color w:val="000000" w:themeColor="text1"/>
          <w:sz w:val="24"/>
        </w:rPr>
        <w:t>). Substituting this value into the equation gives:</w:t>
      </w:r>
    </w:p>
    <w:p w14:paraId="5DB51292" w14:textId="77777777" w:rsidR="000C2399" w:rsidRDefault="00753684" w:rsidP="00533892">
      <w:pPr>
        <w:spacing w:before="120" w:after="120"/>
        <w:ind w:firstLineChars="1700" w:firstLine="3570"/>
        <w:rPr>
          <w:color w:val="000000" w:themeColor="text1"/>
          <w:position w:val="-30"/>
        </w:rPr>
      </w:pPr>
      <w:r>
        <w:rPr>
          <w:rFonts w:hint="eastAsia"/>
          <w:color w:val="000000" w:themeColor="text1"/>
          <w:position w:val="-30"/>
        </w:rPr>
        <w:object w:dxaOrig="2467" w:dyaOrig="684" w14:anchorId="25696E15">
          <v:shape id="_x0000_i1030" type="#_x0000_t75" style="width:123.45pt;height:34.15pt" o:ole="">
            <v:imagedata r:id="rId17" o:title=""/>
          </v:shape>
          <o:OLEObject Type="Embed" ProgID="Equation.KSEE3" ShapeID="_x0000_i1030" DrawAspect="Content" ObjectID="_1845010488" r:id="rId18"/>
        </w:object>
      </w:r>
      <w:r>
        <w:rPr>
          <w:rFonts w:hint="eastAsia"/>
          <w:color w:val="000000" w:themeColor="text1"/>
          <w:position w:val="-30"/>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7</w:t>
      </w:r>
      <w:r>
        <w:rPr>
          <w:rFonts w:ascii="Times New Roman" w:hAnsi="Times New Roman" w:cs="Times New Roman"/>
          <w:color w:val="000000" w:themeColor="text1"/>
          <w:position w:val="-14"/>
          <w:sz w:val="24"/>
        </w:rPr>
        <w:t>)</w:t>
      </w:r>
    </w:p>
    <w:p w14:paraId="0696555E" w14:textId="77777777" w:rsidR="000C2399" w:rsidRDefault="00753684" w:rsidP="00533892">
      <w:pPr>
        <w:spacing w:before="120" w:after="120"/>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Z’</w:t>
      </w:r>
      <w:r>
        <w:rPr>
          <w:rFonts w:ascii="Times New Roman" w:hAnsi="Times New Roman" w:cs="Times New Roman"/>
          <w:color w:val="000000" w:themeColor="text1"/>
          <w:sz w:val="24"/>
          <w:vertAlign w:val="subscript"/>
        </w:rPr>
        <w:t>im</w:t>
      </w:r>
      <w:proofErr w:type="spellEnd"/>
      <w:r>
        <w:rPr>
          <w:rFonts w:ascii="Times New Roman" w:hAnsi="Times New Roman" w:cs="Times New Roman"/>
          <w:color w:val="000000" w:themeColor="text1"/>
          <w:sz w:val="24"/>
        </w:rPr>
        <w:t xml:space="preserve"> and Z’’</w:t>
      </w:r>
      <w:proofErr w:type="spellStart"/>
      <w:r>
        <w:rPr>
          <w:rFonts w:ascii="Times New Roman" w:hAnsi="Times New Roman" w:cs="Times New Roman"/>
          <w:color w:val="000000" w:themeColor="text1"/>
          <w:sz w:val="24"/>
          <w:vertAlign w:val="subscript"/>
        </w:rPr>
        <w:t>im</w:t>
      </w:r>
      <w:proofErr w:type="spellEnd"/>
      <w:r>
        <w:rPr>
          <w:rFonts w:ascii="Times New Roman" w:hAnsi="Times New Roman" w:cs="Times New Roman"/>
          <w:color w:val="000000" w:themeColor="text1"/>
          <w:sz w:val="24"/>
        </w:rPr>
        <w:t xml:space="preserve"> indicate the imaginary impedance portions in Na₂SO</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 xml:space="preserve"> and </w:t>
      </w:r>
      <w:proofErr w:type="spellStart"/>
      <w:r>
        <w:rPr>
          <w:rFonts w:ascii="Times New Roman" w:hAnsi="Times New Roman" w:cs="Times New Roman"/>
          <w:color w:val="000000" w:themeColor="text1"/>
          <w:sz w:val="24"/>
        </w:rPr>
        <w:t>Na₂SO</w:t>
      </w:r>
      <w:proofErr w:type="spellEnd"/>
      <w:r>
        <w:rPr>
          <w:rFonts w:ascii="Times New Roman" w:hAnsi="Times New Roman" w:cs="Times New Roman"/>
          <w:color w:val="000000" w:themeColor="text1"/>
          <w:sz w:val="24"/>
        </w:rPr>
        <w:t>₄/</w:t>
      </w:r>
      <w:r>
        <w:rPr>
          <w:rFonts w:ascii="Times New Roman" w:hAnsi="Times New Roman" w:cs="Times New Roman" w:hint="eastAsia"/>
          <w:color w:val="000000" w:themeColor="text1"/>
          <w:sz w:val="24"/>
        </w:rPr>
        <w:t>SUSA</w:t>
      </w:r>
      <w:r>
        <w:rPr>
          <w:rFonts w:ascii="Times New Roman" w:hAnsi="Times New Roman" w:cs="Times New Roman"/>
          <w:color w:val="000000" w:themeColor="text1"/>
          <w:sz w:val="24"/>
        </w:rPr>
        <w:t xml:space="preserve"> solutions, respectively. Thus, shifts in capacitance echo IHP modifications under potential influenced by </w:t>
      </w:r>
      <w:r>
        <w:rPr>
          <w:rFonts w:ascii="Times New Roman" w:hAnsi="Times New Roman" w:cs="Times New Roman" w:hint="eastAsia"/>
          <w:color w:val="000000" w:themeColor="text1"/>
          <w:sz w:val="24"/>
        </w:rPr>
        <w:t>SUSA</w:t>
      </w:r>
      <w:r>
        <w:rPr>
          <w:rFonts w:ascii="Times New Roman" w:hAnsi="Times New Roman" w:cs="Times New Roman"/>
          <w:color w:val="000000" w:themeColor="text1"/>
          <w:sz w:val="24"/>
        </w:rPr>
        <w:t xml:space="preserve">. With </w:t>
      </w:r>
      <w:r>
        <w:rPr>
          <w:rFonts w:ascii="Times New Roman" w:hAnsi="Times New Roman" w:cs="Times New Roman" w:hint="eastAsia"/>
          <w:color w:val="000000" w:themeColor="text1"/>
          <w:sz w:val="24"/>
        </w:rPr>
        <w:t>H</w:t>
      </w:r>
      <w:r>
        <w:rPr>
          <w:rFonts w:ascii="Times New Roman" w:hAnsi="Times New Roman" w:cs="Times New Roman" w:hint="eastAsia"/>
          <w:color w:val="000000" w:themeColor="text1"/>
          <w:sz w:val="24"/>
          <w:vertAlign w:val="subscript"/>
        </w:rPr>
        <w:t>2</w:t>
      </w:r>
      <w:r>
        <w:rPr>
          <w:rFonts w:ascii="Times New Roman" w:hAnsi="Times New Roman" w:cs="Times New Roman" w:hint="eastAsia"/>
          <w:color w:val="000000" w:themeColor="text1"/>
          <w:sz w:val="24"/>
        </w:rPr>
        <w:t xml:space="preserve">O </w:t>
      </w:r>
      <w:r>
        <w:rPr>
          <w:rFonts w:ascii="Times New Roman" w:hAnsi="Times New Roman" w:cs="Times New Roman"/>
          <w:color w:val="000000" w:themeColor="text1"/>
          <w:sz w:val="24"/>
        </w:rPr>
        <w:t xml:space="preserve">dipoles dominating the IHP in conventional </w:t>
      </w:r>
      <w:proofErr w:type="spellStart"/>
      <w:r>
        <w:rPr>
          <w:rFonts w:ascii="Times New Roman" w:hAnsi="Times New Roman" w:cs="Times New Roman"/>
          <w:color w:val="000000" w:themeColor="text1"/>
          <w:sz w:val="24"/>
        </w:rPr>
        <w:t>ZnSO</w:t>
      </w:r>
      <w:proofErr w:type="spellEnd"/>
      <w:r>
        <w:rPr>
          <w:rFonts w:ascii="Times New Roman" w:hAnsi="Times New Roman" w:cs="Times New Roman"/>
          <w:color w:val="000000" w:themeColor="text1"/>
          <w:sz w:val="24"/>
        </w:rPr>
        <w:t>₄ electrolyte, C</w:t>
      </w:r>
      <w:r>
        <w:rPr>
          <w:rFonts w:ascii="Times New Roman" w:hAnsi="Times New Roman" w:cs="Times New Roman"/>
          <w:color w:val="000000" w:themeColor="text1"/>
          <w:sz w:val="24"/>
          <w:vertAlign w:val="subscript"/>
        </w:rPr>
        <w:t>d</w:t>
      </w:r>
      <w:r>
        <w:rPr>
          <w:rFonts w:ascii="Times New Roman" w:hAnsi="Times New Roman" w:cs="Times New Roman"/>
          <w:color w:val="000000" w:themeColor="text1"/>
          <w:sz w:val="24"/>
        </w:rPr>
        <w:t xml:space="preserve"> exhibits negligible fluctuation over the voltage span.</w:t>
      </w:r>
      <w:r>
        <w:rPr>
          <w:rFonts w:ascii="Times New Roman" w:hAnsi="Times New Roman" w:cs="Times New Roman" w:hint="eastAsia"/>
          <w:color w:val="000000" w:themeColor="text1"/>
          <w:sz w:val="24"/>
        </w:rPr>
        <w:t xml:space="preserve"> On the contrary, t</w:t>
      </w:r>
      <w:r>
        <w:rPr>
          <w:rFonts w:ascii="Times New Roman" w:hAnsi="Times New Roman" w:cs="Times New Roman"/>
          <w:color w:val="000000" w:themeColor="text1"/>
          <w:sz w:val="24"/>
        </w:rPr>
        <w:t>he incorporation of SUSA effectively expels water molecules from the IHP layer, resulting in a pronounced fluctuation in the C</w:t>
      </w:r>
      <w:r>
        <w:rPr>
          <w:rFonts w:ascii="Times New Roman" w:hAnsi="Times New Roman" w:cs="Times New Roman"/>
          <w:color w:val="000000" w:themeColor="text1"/>
          <w:sz w:val="24"/>
          <w:vertAlign w:val="subscript"/>
        </w:rPr>
        <w:t>d</w:t>
      </w:r>
      <w:r>
        <w:rPr>
          <w:rFonts w:ascii="Times New Roman" w:hAnsi="Times New Roman" w:cs="Times New Roman"/>
          <w:color w:val="000000" w:themeColor="text1"/>
          <w:sz w:val="24"/>
        </w:rPr>
        <w:t xml:space="preserve"> value.</w:t>
      </w:r>
    </w:p>
    <w:p w14:paraId="5055A0F5"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S1.4.4 </w:t>
      </w:r>
      <w:r>
        <w:rPr>
          <w:rFonts w:ascii="Times New Roman" w:hAnsi="Times New Roman" w:cs="Times New Roman"/>
          <w:b/>
          <w:bCs/>
          <w:i/>
          <w:iCs/>
          <w:color w:val="000000" w:themeColor="text1"/>
          <w:sz w:val="24"/>
        </w:rPr>
        <w:t>DOD calculation formula</w:t>
      </w:r>
    </w:p>
    <w:p w14:paraId="000CBE7C"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DOD, which denotes the proportion of actual zinc usage relative to the theoretical </w:t>
      </w:r>
      <w:r>
        <w:rPr>
          <w:rFonts w:ascii="Times New Roman" w:hAnsi="Times New Roman" w:cs="Times New Roman" w:hint="eastAsia"/>
          <w:color w:val="000000" w:themeColor="text1"/>
          <w:sz w:val="24"/>
        </w:rPr>
        <w:t>total provided</w:t>
      </w:r>
      <w:r>
        <w:rPr>
          <w:rFonts w:ascii="Times New Roman" w:hAnsi="Times New Roman" w:cs="Times New Roman"/>
          <w:color w:val="000000" w:themeColor="text1"/>
          <w:sz w:val="24"/>
        </w:rPr>
        <w:t xml:space="preserve"> zinc capacity and functions as the most dependable indicator for assessing anode efficiency, is computed via the following equation:</w:t>
      </w:r>
    </w:p>
    <w:p w14:paraId="03F4489B" w14:textId="77777777" w:rsidR="000C2399" w:rsidRDefault="00753684" w:rsidP="00533892">
      <w:pPr>
        <w:spacing w:before="120" w:after="120"/>
        <w:ind w:firstLineChars="1700" w:firstLine="3570"/>
        <w:rPr>
          <w:color w:val="000000" w:themeColor="text1"/>
          <w:position w:val="-30"/>
        </w:rPr>
      </w:pPr>
      <w:r>
        <w:rPr>
          <w:rFonts w:hint="eastAsia"/>
          <w:color w:val="000000" w:themeColor="text1"/>
          <w:position w:val="-30"/>
        </w:rPr>
        <w:object w:dxaOrig="2424" w:dyaOrig="727" w14:anchorId="58B0E1E9">
          <v:shape id="_x0000_i1031" type="#_x0000_t75" style="width:121.1pt;height:36.45pt" o:ole="">
            <v:imagedata r:id="rId19" o:title=""/>
          </v:shape>
          <o:OLEObject Type="Embed" ProgID="Equation.KSEE3" ShapeID="_x0000_i1031" DrawAspect="Content" ObjectID="_1845010489" r:id="rId20"/>
        </w:object>
      </w:r>
      <w:r>
        <w:rPr>
          <w:rFonts w:hint="eastAsia"/>
          <w:color w:val="000000" w:themeColor="text1"/>
          <w:position w:val="-30"/>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8</w:t>
      </w:r>
      <w:r>
        <w:rPr>
          <w:rFonts w:ascii="Times New Roman" w:hAnsi="Times New Roman" w:cs="Times New Roman"/>
          <w:color w:val="000000" w:themeColor="text1"/>
          <w:position w:val="-14"/>
          <w:sz w:val="24"/>
        </w:rPr>
        <w:t>)</w:t>
      </w:r>
    </w:p>
    <w:p w14:paraId="4D922692"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Where </w:t>
      </w:r>
      <w:proofErr w:type="spellStart"/>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pr</w:t>
      </w:r>
      <w:proofErr w:type="spellEnd"/>
      <w:r>
        <w:rPr>
          <w:rFonts w:ascii="Times New Roman" w:hAnsi="Times New Roman" w:cs="Times New Roman" w:hint="eastAsia"/>
          <w:color w:val="000000" w:themeColor="text1"/>
          <w:sz w:val="24"/>
        </w:rPr>
        <w:t xml:space="preserve"> denotes the applied areal capacity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xml:space="preserve">), </w:t>
      </w:r>
      <w:proofErr w:type="spellStart"/>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th</w:t>
      </w:r>
      <w:proofErr w:type="spellEnd"/>
      <w:r>
        <w:rPr>
          <w:rFonts w:ascii="Times New Roman" w:hAnsi="Times New Roman" w:cs="Times New Roman" w:hint="eastAsia"/>
          <w:color w:val="000000" w:themeColor="text1"/>
          <w:sz w:val="24"/>
          <w:vertAlign w:val="subscript"/>
        </w:rPr>
        <w:t xml:space="preserve"> Zn</w:t>
      </w:r>
      <w:r>
        <w:rPr>
          <w:rFonts w:ascii="Times New Roman" w:hAnsi="Times New Roman" w:cs="Times New Roman" w:hint="eastAsia"/>
          <w:color w:val="000000" w:themeColor="text1"/>
          <w:sz w:val="24"/>
        </w:rPr>
        <w:t xml:space="preserve"> represents the theoretical capacity of Zn (5855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cm</w:t>
      </w:r>
      <w:r>
        <w:rPr>
          <w:rFonts w:ascii="Times New Roman" w:hAnsi="Times New Roman" w:cs="Times New Roman" w:hint="eastAsia"/>
          <w:color w:val="000000" w:themeColor="text1"/>
          <w:sz w:val="24"/>
          <w:vertAlign w:val="superscript"/>
        </w:rPr>
        <w:t>-3</w:t>
      </w:r>
      <w:r>
        <w:rPr>
          <w:rFonts w:ascii="Times New Roman" w:hAnsi="Times New Roman" w:cs="Times New Roman" w:hint="eastAsia"/>
          <w:color w:val="000000" w:themeColor="text1"/>
          <w:sz w:val="24"/>
        </w:rPr>
        <w:t xml:space="preserve">), and </w:t>
      </w:r>
      <w:r>
        <w:rPr>
          <w:rFonts w:ascii="Times New Roman" w:hAnsi="Times New Roman" w:cs="Times New Roman"/>
          <w:i/>
          <w:iCs/>
          <w:color w:val="000000" w:themeColor="text1"/>
          <w:sz w:val="24"/>
        </w:rPr>
        <w:t>θ</w:t>
      </w:r>
      <w:r>
        <w:rPr>
          <w:rFonts w:ascii="Times New Roman" w:hAnsi="Times New Roman" w:cs="Times New Roman"/>
          <w:color w:val="000000" w:themeColor="text1"/>
          <w:sz w:val="24"/>
        </w:rPr>
        <w:t xml:space="preserve"> </w:t>
      </w:r>
      <w:r>
        <w:rPr>
          <w:rFonts w:ascii="Times New Roman" w:hAnsi="Times New Roman" w:cs="Times New Roman" w:hint="eastAsia"/>
          <w:color w:val="000000" w:themeColor="text1"/>
          <w:sz w:val="24"/>
        </w:rPr>
        <w:t>indicates the thickness (cm) of zinc foil.</w:t>
      </w:r>
    </w:p>
    <w:p w14:paraId="7ADE8260"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S1.4.5 </w:t>
      </w:r>
      <w:r>
        <w:rPr>
          <w:rFonts w:ascii="Times New Roman" w:hAnsi="Times New Roman" w:cs="Times New Roman"/>
          <w:b/>
          <w:bCs/>
          <w:i/>
          <w:iCs/>
          <w:color w:val="000000" w:themeColor="text1"/>
          <w:sz w:val="24"/>
        </w:rPr>
        <w:t>Calculation of Zn²⁺ transference number</w:t>
      </w:r>
    </w:p>
    <w:p w14:paraId="453C949C"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The Zn²⁺ transference number (</w:t>
      </w:r>
      <m:oMath>
        <m:sSub>
          <m:sSubPr>
            <m:ctrlPr>
              <w:rPr>
                <w:rFonts w:ascii="Cambria Math" w:hAnsi="Cambria Math" w:cs="Times New Roman"/>
                <w:i/>
                <w:color w:val="000000" w:themeColor="text1"/>
                <w:sz w:val="24"/>
              </w:rPr>
            </m:ctrlPr>
          </m:sSubPr>
          <m:e>
            <m:r>
              <w:rPr>
                <w:rFonts w:ascii="Cambria Math" w:hAnsi="Cambria Math" w:cs="Times New Roman"/>
                <w:color w:val="000000" w:themeColor="text1"/>
                <w:sz w:val="24"/>
              </w:rPr>
              <m:t>t</m:t>
            </m:r>
          </m:e>
          <m:sub>
            <m:sSup>
              <m:sSupPr>
                <m:ctrlPr>
                  <w:rPr>
                    <w:rFonts w:ascii="Cambria Math" w:hAnsi="Cambria Math" w:cs="Times New Roman"/>
                    <w:i/>
                    <w:color w:val="000000" w:themeColor="text1"/>
                    <w:sz w:val="24"/>
                  </w:rPr>
                </m:ctrlPr>
              </m:sSupPr>
              <m:e>
                <m:r>
                  <w:rPr>
                    <w:rFonts w:ascii="Cambria Math" w:hAnsi="Cambria Math" w:cs="Times New Roman"/>
                    <w:color w:val="000000" w:themeColor="text1"/>
                    <w:sz w:val="24"/>
                  </w:rPr>
                  <m:t>Zn</m:t>
                </m:r>
              </m:e>
              <m:sup>
                <m:r>
                  <w:rPr>
                    <w:rFonts w:ascii="Cambria Math" w:hAnsi="Cambria Math" w:cs="Times New Roman"/>
                    <w:color w:val="000000" w:themeColor="text1"/>
                    <w:sz w:val="24"/>
                  </w:rPr>
                  <m:t>2+</m:t>
                </m:r>
              </m:sup>
            </m:sSup>
          </m:sub>
        </m:sSub>
      </m:oMath>
      <w:r>
        <w:rPr>
          <w:rFonts w:ascii="Times New Roman" w:hAnsi="Times New Roman" w:cs="Times New Roman"/>
          <w:color w:val="000000" w:themeColor="text1"/>
          <w:sz w:val="24"/>
        </w:rPr>
        <w:t>) was assessed via EIS coupled with CA</w:t>
      </w:r>
      <w:r>
        <w:rPr>
          <w:rFonts w:ascii="Times New Roman" w:hAnsi="Times New Roman" w:cs="Times New Roman" w:hint="eastAsia"/>
          <w:color w:val="000000" w:themeColor="text1"/>
          <w:sz w:val="24"/>
        </w:rPr>
        <w:t xml:space="preserve"> test</w:t>
      </w:r>
      <w:r>
        <w:rPr>
          <w:rFonts w:ascii="Times New Roman" w:hAnsi="Times New Roman" w:cs="Times New Roman"/>
          <w:color w:val="000000" w:themeColor="text1"/>
          <w:sz w:val="24"/>
        </w:rPr>
        <w:t xml:space="preserve"> under a </w:t>
      </w:r>
      <w:proofErr w:type="gramStart"/>
      <w:r>
        <w:rPr>
          <w:rFonts w:ascii="Times New Roman" w:hAnsi="Times New Roman" w:cs="Times New Roman" w:hint="eastAsia"/>
          <w:color w:val="000000" w:themeColor="text1"/>
          <w:sz w:val="24"/>
        </w:rPr>
        <w:t>1</w:t>
      </w:r>
      <w:r>
        <w:rPr>
          <w:rFonts w:ascii="Times New Roman" w:hAnsi="Times New Roman" w:cs="Times New Roman"/>
          <w:color w:val="000000" w:themeColor="text1"/>
          <w:sz w:val="24"/>
        </w:rPr>
        <w:t>0 mV</w:t>
      </w:r>
      <w:proofErr w:type="gramEnd"/>
      <w:r>
        <w:rPr>
          <w:rFonts w:ascii="Times New Roman" w:hAnsi="Times New Roman" w:cs="Times New Roman"/>
          <w:color w:val="000000" w:themeColor="text1"/>
          <w:sz w:val="24"/>
        </w:rPr>
        <w:t xml:space="preserve"> polarization voltage and 4000 s duration, and derived from the equation:</w:t>
      </w:r>
    </w:p>
    <w:p w14:paraId="401E08B4" w14:textId="77777777" w:rsidR="000C2399" w:rsidRDefault="00753684" w:rsidP="00533892">
      <w:pPr>
        <w:spacing w:before="120" w:after="120"/>
        <w:ind w:firstLineChars="1400" w:firstLine="2940"/>
        <w:rPr>
          <w:color w:val="000000" w:themeColor="text1"/>
          <w:position w:val="-30"/>
        </w:rPr>
      </w:pPr>
      <w:r>
        <w:rPr>
          <w:rFonts w:hint="eastAsia"/>
          <w:color w:val="000000" w:themeColor="text1"/>
          <w:position w:val="-30"/>
        </w:rPr>
        <w:object w:dxaOrig="2124" w:dyaOrig="684" w14:anchorId="14D79006">
          <v:shape id="_x0000_i1032" type="#_x0000_t75" style="width:106.15pt;height:34.15pt" o:ole="">
            <v:imagedata r:id="rId21" o:title=""/>
          </v:shape>
          <o:OLEObject Type="Embed" ProgID="Equation.KSEE3" ShapeID="_x0000_i1032" DrawAspect="Content" ObjectID="_1845010490" r:id="rId22"/>
        </w:object>
      </w:r>
      <w:r>
        <w:rPr>
          <w:rFonts w:hint="eastAsia"/>
          <w:color w:val="000000" w:themeColor="text1"/>
          <w:position w:val="-30"/>
        </w:rPr>
        <w:t xml:space="preserve">                          </w:t>
      </w:r>
      <w:r>
        <w:rPr>
          <w:rFonts w:ascii="Times New Roman" w:hAnsi="Times New Roman" w:cs="Times New Roman"/>
          <w:color w:val="000000" w:themeColor="text1"/>
          <w:position w:val="-14"/>
          <w:sz w:val="24"/>
        </w:rPr>
        <w:t>(S</w:t>
      </w:r>
      <w:r>
        <w:rPr>
          <w:rFonts w:ascii="Times New Roman" w:hAnsi="Times New Roman" w:cs="Times New Roman" w:hint="eastAsia"/>
          <w:color w:val="000000" w:themeColor="text1"/>
          <w:position w:val="-14"/>
          <w:sz w:val="24"/>
        </w:rPr>
        <w:t>9</w:t>
      </w:r>
      <w:r>
        <w:rPr>
          <w:rFonts w:ascii="Times New Roman" w:hAnsi="Times New Roman" w:cs="Times New Roman"/>
          <w:color w:val="000000" w:themeColor="text1"/>
          <w:position w:val="-14"/>
          <w:sz w:val="24"/>
        </w:rPr>
        <w:t>)</w:t>
      </w:r>
    </w:p>
    <w:p w14:paraId="5B40A7AC"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In which I</w:t>
      </w:r>
      <w:r>
        <w:rPr>
          <w:rFonts w:ascii="Times New Roman" w:hAnsi="Times New Roman" w:cs="Times New Roman"/>
          <w:color w:val="000000" w:themeColor="text1"/>
          <w:sz w:val="24"/>
          <w:vertAlign w:val="subscript"/>
        </w:rPr>
        <w:t>0</w:t>
      </w:r>
      <w:r>
        <w:rPr>
          <w:rFonts w:ascii="Times New Roman" w:hAnsi="Times New Roman" w:cs="Times New Roman"/>
          <w:color w:val="000000" w:themeColor="text1"/>
          <w:sz w:val="24"/>
        </w:rPr>
        <w:t xml:space="preserve"> and I</w:t>
      </w:r>
      <w:r>
        <w:rPr>
          <w:rFonts w:ascii="Times New Roman" w:hAnsi="Times New Roman" w:cs="Times New Roman"/>
          <w:color w:val="000000" w:themeColor="text1"/>
          <w:sz w:val="24"/>
          <w:vertAlign w:val="subscript"/>
        </w:rPr>
        <w:t>s</w:t>
      </w:r>
      <w:r>
        <w:rPr>
          <w:rFonts w:ascii="Times New Roman" w:hAnsi="Times New Roman" w:cs="Times New Roman"/>
          <w:color w:val="000000" w:themeColor="text1"/>
          <w:sz w:val="24"/>
        </w:rPr>
        <w:t xml:space="preserve"> indicate starting and equilibrium currents, whereas R</w:t>
      </w:r>
      <w:r>
        <w:rPr>
          <w:rFonts w:ascii="Times New Roman" w:hAnsi="Times New Roman" w:cs="Times New Roman"/>
          <w:color w:val="000000" w:themeColor="text1"/>
          <w:sz w:val="24"/>
          <w:vertAlign w:val="subscript"/>
        </w:rPr>
        <w:t>0</w:t>
      </w:r>
      <w:r>
        <w:rPr>
          <w:rFonts w:ascii="Times New Roman" w:hAnsi="Times New Roman" w:cs="Times New Roman"/>
          <w:color w:val="000000" w:themeColor="text1"/>
          <w:sz w:val="24"/>
        </w:rPr>
        <w:t xml:space="preserve"> and R</w:t>
      </w:r>
      <w:r>
        <w:rPr>
          <w:rFonts w:ascii="Times New Roman" w:hAnsi="Times New Roman" w:cs="Times New Roman"/>
          <w:color w:val="000000" w:themeColor="text1"/>
          <w:sz w:val="24"/>
          <w:vertAlign w:val="subscript"/>
        </w:rPr>
        <w:t>s</w:t>
      </w:r>
      <w:r>
        <w:rPr>
          <w:rFonts w:ascii="Times New Roman" w:hAnsi="Times New Roman" w:cs="Times New Roman"/>
          <w:color w:val="000000" w:themeColor="text1"/>
          <w:sz w:val="24"/>
        </w:rPr>
        <w:t xml:space="preserve"> signify the resistances prior to and following the CA measurement. ΔV corresponds to the imposed polarization voltage (</w:t>
      </w:r>
      <w:r>
        <w:rPr>
          <w:rFonts w:ascii="Times New Roman" w:hAnsi="Times New Roman" w:cs="Times New Roman" w:hint="eastAsia"/>
          <w:color w:val="000000" w:themeColor="text1"/>
          <w:sz w:val="24"/>
        </w:rPr>
        <w:t>1</w:t>
      </w:r>
      <w:r>
        <w:rPr>
          <w:rFonts w:ascii="Times New Roman" w:hAnsi="Times New Roman" w:cs="Times New Roman"/>
          <w:color w:val="000000" w:themeColor="text1"/>
          <w:sz w:val="24"/>
        </w:rPr>
        <w:t>0 mV).</w:t>
      </w:r>
    </w:p>
    <w:p w14:paraId="5A6D59DC"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S1.4.6 </w:t>
      </w:r>
      <w:r>
        <w:rPr>
          <w:rFonts w:ascii="Times New Roman" w:hAnsi="Times New Roman" w:cs="Times New Roman"/>
          <w:b/>
          <w:bCs/>
          <w:i/>
          <w:iCs/>
          <w:color w:val="000000" w:themeColor="text1"/>
          <w:sz w:val="24"/>
        </w:rPr>
        <w:t>Calculations of the activation energy</w:t>
      </w:r>
    </w:p>
    <w:p w14:paraId="301D27BC" w14:textId="77777777" w:rsidR="000C2399" w:rsidRDefault="00753684" w:rsidP="00533892">
      <w:pPr>
        <w:numPr>
          <w:ilvl w:val="255"/>
          <w:numId w:val="0"/>
        </w:num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According to Arrhenius formula calculates:</w:t>
      </w:r>
    </w:p>
    <w:p w14:paraId="698A36D4" w14:textId="77777777" w:rsidR="000C2399" w:rsidRDefault="00BC3AA3" w:rsidP="00533892">
      <w:pPr>
        <w:numPr>
          <w:ilvl w:val="255"/>
          <w:numId w:val="0"/>
        </w:numPr>
        <w:spacing w:before="120" w:after="120"/>
        <w:ind w:firstLineChars="1600" w:firstLine="3360"/>
        <w:rPr>
          <w:rFonts w:hAnsi="Cambria Math" w:cs="Cambria Math"/>
          <w:color w:val="000000" w:themeColor="text1"/>
        </w:rPr>
      </w:pPr>
      <m:oMath>
        <m:f>
          <m:fPr>
            <m:ctrlPr>
              <w:rPr>
                <w:rFonts w:ascii="Cambria Math" w:hAnsi="Cambria Math" w:cs="Cambria Math"/>
                <w:i/>
                <w:color w:val="000000" w:themeColor="text1"/>
              </w:rPr>
            </m:ctrlPr>
          </m:fPr>
          <m:num>
            <m:r>
              <m:rPr>
                <m:sty m:val="p"/>
              </m:rPr>
              <w:rPr>
                <w:rFonts w:ascii="Cambria Math" w:hAnsi="Cambria Math" w:cs="Cambria Math"/>
                <w:color w:val="000000" w:themeColor="text1"/>
              </w:rPr>
              <m:t>1</m:t>
            </m:r>
            <m:ctrlPr>
              <w:rPr>
                <w:rFonts w:ascii="Cambria Math" w:hAnsi="Cambria Math" w:cs="Cambria Math"/>
                <w:color w:val="000000" w:themeColor="text1"/>
              </w:rPr>
            </m:ctrlPr>
          </m:num>
          <m:den>
            <m:sSub>
              <m:sSubPr>
                <m:ctrlPr>
                  <w:rPr>
                    <w:rFonts w:ascii="Cambria Math" w:hAnsi="Cambria Math" w:cs="Cambria Math"/>
                    <w:i/>
                    <w:iCs/>
                    <w:color w:val="000000" w:themeColor="text1"/>
                  </w:rPr>
                </m:ctrlPr>
              </m:sSubPr>
              <m:e>
                <m:r>
                  <w:rPr>
                    <w:rFonts w:ascii="Cambria Math" w:hAnsi="Cambria Math" w:cs="Cambria Math"/>
                    <w:color w:val="000000" w:themeColor="text1"/>
                  </w:rPr>
                  <m:t>R</m:t>
                </m:r>
              </m:e>
              <m:sub>
                <m:r>
                  <w:rPr>
                    <w:rFonts w:ascii="Cambria Math" w:hAnsi="Cambria Math" w:cs="Cambria Math"/>
                    <w:color w:val="000000" w:themeColor="text1"/>
                  </w:rPr>
                  <m:t>ct</m:t>
                </m:r>
              </m:sub>
            </m:sSub>
            <m:ctrlPr>
              <w:rPr>
                <w:rFonts w:ascii="Cambria Math" w:hAnsi="Cambria Math" w:cs="Cambria Math"/>
                <w:color w:val="000000" w:themeColor="text1"/>
              </w:rPr>
            </m:ctrlPr>
          </m:den>
        </m:f>
        <m:r>
          <m:rPr>
            <m:sty m:val="p"/>
          </m:rPr>
          <w:rPr>
            <w:rFonts w:ascii="Cambria Math" w:hAnsi="Cambria Math" w:cs="Cambria Math"/>
            <w:color w:val="000000" w:themeColor="text1"/>
          </w:rPr>
          <m:t>=</m:t>
        </m:r>
        <m:r>
          <w:rPr>
            <w:rFonts w:ascii="Cambria Math" w:hAnsi="Cambria Math" w:cs="Cambria Math"/>
            <w:color w:val="000000" w:themeColor="text1"/>
          </w:rPr>
          <m:t>A</m:t>
        </m:r>
        <m:r>
          <m:rPr>
            <m:sty m:val="p"/>
          </m:rPr>
          <w:rPr>
            <w:rFonts w:ascii="Cambria Math" w:hAnsi="Cambria Math" w:cs="Cambria Math"/>
            <w:color w:val="000000" w:themeColor="text1"/>
          </w:rPr>
          <m:t>exp(-</m:t>
        </m:r>
        <m:f>
          <m:fPr>
            <m:ctrlPr>
              <w:rPr>
                <w:rFonts w:ascii="Cambria Math" w:hAnsi="Cambria Math" w:cs="Cambria Math"/>
                <w:i/>
                <w:iCs/>
                <w:color w:val="000000" w:themeColor="text1"/>
              </w:rPr>
            </m:ctrlPr>
          </m:fPr>
          <m:num>
            <m:sSub>
              <m:sSubPr>
                <m:ctrlPr>
                  <w:rPr>
                    <w:rFonts w:ascii="Cambria Math" w:hAnsi="Cambria Math" w:cs="Cambria Math"/>
                    <w:i/>
                    <w:iCs/>
                    <w:color w:val="000000" w:themeColor="text1"/>
                  </w:rPr>
                </m:ctrlPr>
              </m:sSubPr>
              <m:e>
                <m:r>
                  <w:rPr>
                    <w:rFonts w:ascii="Cambria Math" w:hAnsi="Cambria Math" w:cs="Cambria Math"/>
                    <w:color w:val="000000" w:themeColor="text1"/>
                  </w:rPr>
                  <m:t>E</m:t>
                </m:r>
              </m:e>
              <m:sub>
                <m:r>
                  <w:rPr>
                    <w:rFonts w:ascii="Cambria Math" w:hAnsi="Cambria Math" w:cs="Cambria Math"/>
                    <w:color w:val="000000" w:themeColor="text1"/>
                  </w:rPr>
                  <m:t>a</m:t>
                </m:r>
              </m:sub>
            </m:sSub>
          </m:num>
          <m:den>
            <m:r>
              <w:rPr>
                <w:rFonts w:ascii="Cambria Math" w:hAnsi="Cambria Math" w:cs="Cambria Math"/>
                <w:color w:val="000000" w:themeColor="text1"/>
              </w:rPr>
              <m:t>RT</m:t>
            </m:r>
          </m:den>
        </m:f>
        <m:r>
          <m:rPr>
            <m:sty m:val="p"/>
          </m:rPr>
          <w:rPr>
            <w:rFonts w:ascii="Cambria Math" w:hAnsi="Cambria Math" w:cs="Cambria Math"/>
            <w:color w:val="000000" w:themeColor="text1"/>
          </w:rPr>
          <m:t>)</m:t>
        </m:r>
      </m:oMath>
      <w:r w:rsidR="00753684">
        <w:rPr>
          <w:rFonts w:hAnsi="Cambria Math" w:cs="Cambria Math" w:hint="eastAsia"/>
          <w:color w:val="000000" w:themeColor="text1"/>
        </w:rPr>
        <w:t xml:space="preserve">                           </w:t>
      </w:r>
      <w:r w:rsidR="00753684">
        <w:rPr>
          <w:rFonts w:ascii="Times New Roman" w:hAnsi="Times New Roman" w:cs="Times New Roman"/>
          <w:color w:val="000000" w:themeColor="text1"/>
          <w:position w:val="-14"/>
          <w:sz w:val="24"/>
        </w:rPr>
        <w:t>(S1</w:t>
      </w:r>
      <w:r w:rsidR="00753684">
        <w:rPr>
          <w:rFonts w:ascii="Times New Roman" w:hAnsi="Times New Roman" w:cs="Times New Roman" w:hint="eastAsia"/>
          <w:color w:val="000000" w:themeColor="text1"/>
          <w:position w:val="-14"/>
          <w:sz w:val="24"/>
        </w:rPr>
        <w:t>0</w:t>
      </w:r>
      <w:r w:rsidR="00753684">
        <w:rPr>
          <w:rFonts w:ascii="Times New Roman" w:hAnsi="Times New Roman" w:cs="Times New Roman"/>
          <w:color w:val="000000" w:themeColor="text1"/>
          <w:position w:val="-14"/>
          <w:sz w:val="24"/>
        </w:rPr>
        <w:t>)</w:t>
      </w:r>
    </w:p>
    <w:p w14:paraId="7666538E" w14:textId="77777777" w:rsidR="000C2399" w:rsidRDefault="00753684" w:rsidP="00533892">
      <w:pPr>
        <w:numPr>
          <w:ilvl w:val="255"/>
          <w:numId w:val="0"/>
        </w:numPr>
        <w:spacing w:before="120" w:after="120"/>
        <w:rPr>
          <w:rFonts w:hAnsi="Cambria Math" w:cs="Cambria Math"/>
          <w:color w:val="000000" w:themeColor="text1"/>
        </w:rPr>
      </w:pPr>
      <w:r>
        <w:rPr>
          <w:rFonts w:ascii="Times New Roman" w:hAnsi="Times New Roman" w:cs="Times New Roman"/>
          <w:color w:val="000000" w:themeColor="text1"/>
          <w:sz w:val="24"/>
        </w:rPr>
        <w:t xml:space="preserve">In which </w:t>
      </w:r>
      <w:proofErr w:type="spellStart"/>
      <w:r>
        <w:rPr>
          <w:rFonts w:ascii="Times New Roman" w:hAnsi="Times New Roman" w:cs="Times New Roman"/>
          <w:color w:val="000000" w:themeColor="text1"/>
          <w:sz w:val="24"/>
        </w:rPr>
        <w:t>R</w:t>
      </w:r>
      <w:r>
        <w:rPr>
          <w:rFonts w:ascii="Times New Roman" w:hAnsi="Times New Roman" w:cs="Times New Roman"/>
          <w:color w:val="000000" w:themeColor="text1"/>
          <w:sz w:val="24"/>
          <w:vertAlign w:val="subscript"/>
        </w:rPr>
        <w:t>ct</w:t>
      </w:r>
      <w:proofErr w:type="spellEnd"/>
      <w:r>
        <w:rPr>
          <w:rFonts w:ascii="Times New Roman" w:hAnsi="Times New Roman" w:cs="Times New Roman"/>
          <w:color w:val="000000" w:themeColor="text1"/>
          <w:sz w:val="24"/>
        </w:rPr>
        <w:t xml:space="preserve"> represents the charge-transfer </w:t>
      </w:r>
      <w:proofErr w:type="spellStart"/>
      <w:r>
        <w:rPr>
          <w:rFonts w:ascii="Times New Roman" w:hAnsi="Times New Roman" w:cs="Times New Roman"/>
          <w:color w:val="000000" w:themeColor="text1"/>
          <w:sz w:val="24"/>
        </w:rPr>
        <w:t>resistanc</w:t>
      </w:r>
      <w:proofErr w:type="spellEnd"/>
      <w:r>
        <w:rPr>
          <w:rFonts w:ascii="Times New Roman" w:hAnsi="Times New Roman" w:cs="Times New Roman"/>
          <w:color w:val="000000" w:themeColor="text1"/>
          <w:sz w:val="24"/>
        </w:rPr>
        <w:t xml:space="preserve">, A represents a coefficient, </w:t>
      </w:r>
      <w:proofErr w:type="spellStart"/>
      <w:r>
        <w:rPr>
          <w:rFonts w:ascii="Times New Roman" w:hAnsi="Times New Roman" w:cs="Times New Roman"/>
          <w:color w:val="000000" w:themeColor="text1"/>
          <w:sz w:val="24"/>
        </w:rPr>
        <w:t>E</w:t>
      </w:r>
      <w:r>
        <w:rPr>
          <w:rFonts w:ascii="Times New Roman" w:hAnsi="Times New Roman" w:cs="Times New Roman"/>
          <w:color w:val="000000" w:themeColor="text1"/>
          <w:sz w:val="24"/>
          <w:vertAlign w:val="subscript"/>
        </w:rPr>
        <w:t>a</w:t>
      </w:r>
      <w:proofErr w:type="spellEnd"/>
      <w:r>
        <w:rPr>
          <w:rFonts w:ascii="Times New Roman" w:hAnsi="Times New Roman" w:cs="Times New Roman"/>
          <w:color w:val="000000" w:themeColor="text1"/>
          <w:sz w:val="24"/>
        </w:rPr>
        <w:t xml:space="preserve"> represents the activation energy, R represents the universal gas constant, and T represents the temperature in Kelvin.</w:t>
      </w:r>
    </w:p>
    <w:p w14:paraId="4EA0680B" w14:textId="77777777" w:rsidR="000C2399" w:rsidRDefault="00753684" w:rsidP="00533892">
      <w:pPr>
        <w:spacing w:before="120" w:after="120"/>
        <w:rPr>
          <w:rFonts w:ascii="Times New Roman" w:hAnsi="Times New Roman" w:cs="Times New Roman"/>
          <w:b/>
          <w:bCs/>
          <w:i/>
          <w:iCs/>
          <w:color w:val="000000" w:themeColor="text1"/>
          <w:sz w:val="24"/>
        </w:rPr>
      </w:pPr>
      <w:r>
        <w:rPr>
          <w:rFonts w:ascii="Times New Roman" w:hAnsi="Times New Roman" w:cs="Times New Roman" w:hint="eastAsia"/>
          <w:b/>
          <w:bCs/>
          <w:i/>
          <w:iCs/>
          <w:color w:val="000000" w:themeColor="text1"/>
          <w:sz w:val="24"/>
        </w:rPr>
        <w:t xml:space="preserve">S1.4.7 </w:t>
      </w:r>
      <w:r>
        <w:rPr>
          <w:rFonts w:ascii="Times New Roman" w:hAnsi="Times New Roman" w:cs="Times New Roman"/>
          <w:b/>
          <w:bCs/>
          <w:i/>
          <w:iCs/>
          <w:color w:val="000000" w:themeColor="text1"/>
          <w:sz w:val="24"/>
        </w:rPr>
        <w:t>Calculation of</w:t>
      </w:r>
      <w:r>
        <w:rPr>
          <w:rFonts w:ascii="Times New Roman" w:hAnsi="Times New Roman" w:cs="Times New Roman" w:hint="eastAsia"/>
          <w:b/>
          <w:bCs/>
          <w:i/>
          <w:iCs/>
          <w:color w:val="000000" w:themeColor="text1"/>
          <w:sz w:val="24"/>
        </w:rPr>
        <w:t xml:space="preserve"> N/P ratio</w:t>
      </w:r>
    </w:p>
    <w:p w14:paraId="7AC458C4"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N/P ratio serves as a pivotal metric for evaluating the viability of </w:t>
      </w:r>
      <w:r>
        <w:rPr>
          <w:rFonts w:ascii="Times New Roman" w:hAnsi="Times New Roman" w:cs="Times New Roman" w:hint="eastAsia"/>
          <w:color w:val="000000" w:themeColor="text1"/>
          <w:sz w:val="24"/>
        </w:rPr>
        <w:t>AZMBs</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A low N/P ratio is essential for achieving the high energy density battery system, as it maximizes zinc utilization, which is a key requirement for practical AZIBs with high cathode loading and lean electrolyte. The specific calculation formula for the N/P ratio is as follows:</w:t>
      </w:r>
    </w:p>
    <w:p w14:paraId="598E512F" w14:textId="77777777" w:rsidR="000C2399" w:rsidRDefault="00753684" w:rsidP="00533892">
      <w:pPr>
        <w:spacing w:before="120" w:after="120"/>
        <w:ind w:firstLineChars="1400" w:firstLine="2940"/>
        <w:rPr>
          <w:color w:val="000000" w:themeColor="text1"/>
          <w:position w:val="-34"/>
        </w:rPr>
      </w:pPr>
      <w:r>
        <w:rPr>
          <w:rFonts w:hint="eastAsia"/>
          <w:color w:val="000000" w:themeColor="text1"/>
          <w:position w:val="-34"/>
        </w:rPr>
        <w:object w:dxaOrig="2538" w:dyaOrig="756" w14:anchorId="2CBCEAA2">
          <v:shape id="_x0000_i1033" type="#_x0000_t75" style="width:126.7pt;height:37.85pt" o:ole="">
            <v:imagedata r:id="rId23" o:title=""/>
          </v:shape>
          <o:OLEObject Type="Embed" ProgID="Equation.KSEE3" ShapeID="_x0000_i1033" DrawAspect="Content" ObjectID="_1845010491" r:id="rId24"/>
        </w:object>
      </w:r>
      <w:r>
        <w:rPr>
          <w:rFonts w:hint="eastAsia"/>
          <w:color w:val="000000" w:themeColor="text1"/>
          <w:position w:val="-34"/>
        </w:rPr>
        <w:t xml:space="preserve">                     </w:t>
      </w:r>
      <w:r>
        <w:rPr>
          <w:rFonts w:ascii="Times New Roman" w:hAnsi="Times New Roman" w:cs="Times New Roman"/>
          <w:color w:val="000000" w:themeColor="text1"/>
          <w:position w:val="-14"/>
          <w:sz w:val="24"/>
        </w:rPr>
        <w:t>(S1</w:t>
      </w:r>
      <w:r>
        <w:rPr>
          <w:rFonts w:ascii="Times New Roman" w:hAnsi="Times New Roman" w:cs="Times New Roman" w:hint="eastAsia"/>
          <w:color w:val="000000" w:themeColor="text1"/>
          <w:position w:val="-14"/>
          <w:sz w:val="24"/>
        </w:rPr>
        <w:t>1</w:t>
      </w:r>
      <w:r>
        <w:rPr>
          <w:rFonts w:ascii="Times New Roman" w:hAnsi="Times New Roman" w:cs="Times New Roman"/>
          <w:color w:val="000000" w:themeColor="text1"/>
          <w:position w:val="-14"/>
          <w:sz w:val="24"/>
        </w:rPr>
        <w:t>)</w:t>
      </w:r>
    </w:p>
    <w:p w14:paraId="43CD6D30"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Where </w:t>
      </w:r>
      <w:proofErr w:type="spellStart"/>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negative</w:t>
      </w:r>
      <w:proofErr w:type="spellEnd"/>
      <w:r>
        <w:rPr>
          <w:rFonts w:ascii="Times New Roman" w:hAnsi="Times New Roman" w:cs="Times New Roman" w:hint="eastAsia"/>
          <w:color w:val="000000" w:themeColor="text1"/>
          <w:sz w:val="24"/>
        </w:rPr>
        <w:t xml:space="preserve"> represents the areal capacity of the anode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calculated as the product of thickness of zinc anode (</w:t>
      </w:r>
      <w:r>
        <w:rPr>
          <w:rFonts w:ascii="Times New Roman" w:hAnsi="Times New Roman" w:cs="Times New Roman"/>
          <w:i/>
          <w:iCs/>
          <w:color w:val="000000" w:themeColor="text1"/>
          <w:sz w:val="24"/>
        </w:rPr>
        <w:t>θ</w:t>
      </w:r>
      <w:r>
        <w:rPr>
          <w:rFonts w:ascii="Times New Roman" w:hAnsi="Times New Roman" w:cs="Times New Roman" w:hint="eastAsia"/>
          <w:color w:val="000000" w:themeColor="text1"/>
          <w:sz w:val="24"/>
        </w:rPr>
        <w:t>, cm) and theoretical capacity of Zn (</w:t>
      </w:r>
      <w:proofErr w:type="spellStart"/>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th</w:t>
      </w:r>
      <w:proofErr w:type="spellEnd"/>
      <w:r>
        <w:rPr>
          <w:rFonts w:ascii="Times New Roman" w:hAnsi="Times New Roman" w:cs="Times New Roman" w:hint="eastAsia"/>
          <w:color w:val="000000" w:themeColor="text1"/>
          <w:sz w:val="24"/>
          <w:vertAlign w:val="subscript"/>
        </w:rPr>
        <w:t xml:space="preserve"> Zn</w:t>
      </w:r>
      <w:r>
        <w:rPr>
          <w:rFonts w:ascii="Times New Roman" w:hAnsi="Times New Roman" w:cs="Times New Roman" w:hint="eastAsia"/>
          <w:color w:val="000000" w:themeColor="text1"/>
          <w:sz w:val="24"/>
        </w:rPr>
        <w:t xml:space="preserve">, 5855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cm</w:t>
      </w:r>
      <w:r>
        <w:rPr>
          <w:rFonts w:ascii="Times New Roman" w:hAnsi="Times New Roman" w:cs="Times New Roman" w:hint="eastAsia"/>
          <w:color w:val="000000" w:themeColor="text1"/>
          <w:sz w:val="24"/>
          <w:vertAlign w:val="superscript"/>
        </w:rPr>
        <w:t>-3</w:t>
      </w:r>
      <w:r>
        <w:rPr>
          <w:rFonts w:ascii="Times New Roman" w:hAnsi="Times New Roman" w:cs="Times New Roman" w:hint="eastAsia"/>
          <w:color w:val="000000" w:themeColor="text1"/>
          <w:sz w:val="24"/>
        </w:rPr>
        <w:t xml:space="preserve">). And </w:t>
      </w:r>
      <w:proofErr w:type="spellStart"/>
      <w:r>
        <w:rPr>
          <w:rFonts w:ascii="Times New Roman" w:hAnsi="Times New Roman" w:cs="Times New Roman" w:hint="eastAsia"/>
          <w:color w:val="000000" w:themeColor="text1"/>
          <w:sz w:val="24"/>
        </w:rPr>
        <w:t>C</w:t>
      </w:r>
      <w:r>
        <w:rPr>
          <w:rFonts w:ascii="Times New Roman" w:hAnsi="Times New Roman" w:cs="Times New Roman" w:hint="eastAsia"/>
          <w:color w:val="000000" w:themeColor="text1"/>
          <w:sz w:val="24"/>
          <w:vertAlign w:val="subscript"/>
        </w:rPr>
        <w:t>positive</w:t>
      </w:r>
      <w:proofErr w:type="spellEnd"/>
      <w:r>
        <w:rPr>
          <w:rFonts w:ascii="Times New Roman" w:hAnsi="Times New Roman" w:cs="Times New Roman" w:hint="eastAsia"/>
          <w:color w:val="000000" w:themeColor="text1"/>
          <w:sz w:val="24"/>
        </w:rPr>
        <w:t xml:space="preserve"> represents the areal capacity of the cathode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calculated as the product of active anode material loading of cathode (g cm</w:t>
      </w:r>
      <w:r>
        <w:rPr>
          <w:rFonts w:ascii="Times New Roman" w:hAnsi="Times New Roman" w:cs="Times New Roman" w:hint="eastAsia"/>
          <w:color w:val="000000" w:themeColor="text1"/>
          <w:sz w:val="24"/>
          <w:vertAlign w:val="superscript"/>
        </w:rPr>
        <w:t>-2</w:t>
      </w:r>
      <w:r>
        <w:rPr>
          <w:rFonts w:ascii="Times New Roman" w:hAnsi="Times New Roman" w:cs="Times New Roman" w:hint="eastAsia"/>
          <w:color w:val="000000" w:themeColor="text1"/>
          <w:sz w:val="24"/>
        </w:rPr>
        <w:t>) and maximum specific capacity of the cathode (</w:t>
      </w:r>
      <w:proofErr w:type="spellStart"/>
      <w:r>
        <w:rPr>
          <w:rFonts w:ascii="Times New Roman" w:hAnsi="Times New Roman" w:cs="Times New Roman" w:hint="eastAsia"/>
          <w:color w:val="000000" w:themeColor="text1"/>
          <w:sz w:val="24"/>
        </w:rPr>
        <w:t>mAh</w:t>
      </w:r>
      <w:proofErr w:type="spellEnd"/>
      <w:r>
        <w:rPr>
          <w:rFonts w:ascii="Times New Roman" w:hAnsi="Times New Roman" w:cs="Times New Roman" w:hint="eastAsia"/>
          <w:color w:val="000000" w:themeColor="text1"/>
          <w:sz w:val="24"/>
        </w:rPr>
        <w:t xml:space="preserve"> g</w:t>
      </w:r>
      <w:r>
        <w:rPr>
          <w:rFonts w:ascii="Times New Roman" w:hAnsi="Times New Roman" w:cs="Times New Roman" w:hint="eastAsia"/>
          <w:color w:val="000000" w:themeColor="text1"/>
          <w:sz w:val="24"/>
          <w:vertAlign w:val="superscript"/>
        </w:rPr>
        <w:t>-1</w:t>
      </w:r>
      <w:r>
        <w:rPr>
          <w:rFonts w:ascii="Times New Roman" w:hAnsi="Times New Roman" w:cs="Times New Roman" w:hint="eastAsia"/>
          <w:color w:val="000000" w:themeColor="text1"/>
          <w:sz w:val="24"/>
        </w:rPr>
        <w:t>).</w:t>
      </w:r>
    </w:p>
    <w:p w14:paraId="3AE2A09B" w14:textId="77777777" w:rsidR="000C2399" w:rsidRDefault="00753684" w:rsidP="00533892">
      <w:pPr>
        <w:spacing w:before="120" w:after="120"/>
        <w:rPr>
          <w:rFonts w:ascii="Times New Roman" w:hAnsi="Times New Roman" w:cs="Times New Roman"/>
          <w:b/>
          <w:bCs/>
          <w:color w:val="000000" w:themeColor="text1"/>
          <w:position w:val="-34"/>
          <w:sz w:val="28"/>
          <w:szCs w:val="28"/>
        </w:rPr>
      </w:pPr>
      <w:r>
        <w:rPr>
          <w:rFonts w:ascii="Times New Roman" w:hAnsi="Times New Roman" w:cs="Times New Roman" w:hint="eastAsia"/>
          <w:b/>
          <w:bCs/>
          <w:color w:val="000000" w:themeColor="text1"/>
          <w:position w:val="-34"/>
          <w:sz w:val="28"/>
          <w:szCs w:val="28"/>
        </w:rPr>
        <w:t>S2 Supporting Figures</w:t>
      </w:r>
    </w:p>
    <w:p w14:paraId="23382FCE"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66820205" wp14:editId="24946A5C">
            <wp:extent cx="2106930" cy="2115820"/>
            <wp:effectExtent l="0" t="0" r="7620" b="8255"/>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pic:cNvPicPr>
                      <a:picLocks noChangeAspect="1"/>
                    </pic:cNvPicPr>
                  </pic:nvPicPr>
                  <pic:blipFill>
                    <a:blip r:embed="rId25"/>
                    <a:stretch>
                      <a:fillRect/>
                    </a:stretch>
                  </pic:blipFill>
                  <pic:spPr>
                    <a:xfrm>
                      <a:off x="0" y="0"/>
                      <a:ext cx="2106930" cy="2115820"/>
                    </a:xfrm>
                    <a:prstGeom prst="rect">
                      <a:avLst/>
                    </a:prstGeom>
                    <a:noFill/>
                    <a:ln>
                      <a:noFill/>
                    </a:ln>
                  </pic:spPr>
                </pic:pic>
              </a:graphicData>
            </a:graphic>
          </wp:inline>
        </w:drawing>
      </w:r>
    </w:p>
    <w:p w14:paraId="3D8EAEFA"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b/>
          <w:bCs/>
          <w:color w:val="000000" w:themeColor="text1"/>
          <w:sz w:val="24"/>
        </w:rPr>
        <w:t>Fig. S1</w:t>
      </w:r>
      <w:r>
        <w:rPr>
          <w:rFonts w:ascii="Times New Roman" w:hAnsi="Times New Roman" w:cs="Times New Roman"/>
          <w:color w:val="000000" w:themeColor="text1"/>
          <w:sz w:val="24"/>
        </w:rPr>
        <w:t xml:space="preserve"> FTIR spectral analysis of ZSO, ZSO/SUSA-0.01, ZSO/SUSA-0.02, ZSO/SUSA-0.03 and ZSO/SUSA-0.04 electrolytes. </w:t>
      </w:r>
    </w:p>
    <w:p w14:paraId="25DB8F0E"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lastRenderedPageBreak/>
        <w:drawing>
          <wp:inline distT="0" distB="0" distL="114300" distR="114300" wp14:anchorId="6CC11E84" wp14:editId="47BC98A7">
            <wp:extent cx="2803525" cy="2509520"/>
            <wp:effectExtent l="0" t="0" r="6350" b="5080"/>
            <wp:docPr id="41" name="图片 41" descr="屏幕截图 2026-02-08 14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屏幕截图 2026-02-08 141612"/>
                    <pic:cNvPicPr>
                      <a:picLocks noChangeAspect="1"/>
                    </pic:cNvPicPr>
                  </pic:nvPicPr>
                  <pic:blipFill>
                    <a:blip r:embed="rId26"/>
                    <a:stretch>
                      <a:fillRect/>
                    </a:stretch>
                  </pic:blipFill>
                  <pic:spPr>
                    <a:xfrm>
                      <a:off x="0" y="0"/>
                      <a:ext cx="2803525" cy="2509520"/>
                    </a:xfrm>
                    <a:prstGeom prst="rect">
                      <a:avLst/>
                    </a:prstGeom>
                  </pic:spPr>
                </pic:pic>
              </a:graphicData>
            </a:graphic>
          </wp:inline>
        </w:drawing>
      </w:r>
    </w:p>
    <w:p w14:paraId="730BC494"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2</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LSV profiles of ZSO/SUSA-0.01, ZSO/SUSA-0.03 and ZSO/SUSA-0.04</w:t>
      </w:r>
      <w:r>
        <w:rPr>
          <w:rFonts w:ascii="Times New Roman" w:hAnsi="Times New Roman" w:cs="Times New Roman" w:hint="eastAsia"/>
          <w:color w:val="000000" w:themeColor="text1"/>
          <w:sz w:val="24"/>
        </w:rPr>
        <w:t xml:space="preserve"> electrolytes</w:t>
      </w:r>
      <w:r>
        <w:rPr>
          <w:rFonts w:ascii="Times New Roman" w:hAnsi="Times New Roman" w:cs="Times New Roman"/>
          <w:color w:val="000000" w:themeColor="text1"/>
          <w:sz w:val="24"/>
        </w:rPr>
        <w:t>.</w:t>
      </w:r>
    </w:p>
    <w:p w14:paraId="25816052"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29390B52" wp14:editId="0C741BAA">
            <wp:extent cx="5269865" cy="2638425"/>
            <wp:effectExtent l="0" t="0" r="6985" b="0"/>
            <wp:docPr id="93071156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11565" name="图片 28"/>
                    <pic:cNvPicPr>
                      <a:picLocks noChangeAspect="1"/>
                    </pic:cNvPicPr>
                  </pic:nvPicPr>
                  <pic:blipFill>
                    <a:blip r:embed="rId27"/>
                    <a:stretch>
                      <a:fillRect/>
                    </a:stretch>
                  </pic:blipFill>
                  <pic:spPr>
                    <a:xfrm>
                      <a:off x="0" y="0"/>
                      <a:ext cx="5269865" cy="2638425"/>
                    </a:xfrm>
                    <a:prstGeom prst="rect">
                      <a:avLst/>
                    </a:prstGeom>
                    <a:noFill/>
                    <a:ln>
                      <a:noFill/>
                    </a:ln>
                  </pic:spPr>
                </pic:pic>
              </a:graphicData>
            </a:graphic>
          </wp:inline>
        </w:drawing>
      </w:r>
    </w:p>
    <w:p w14:paraId="6F58FBAF"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3</w:t>
      </w:r>
      <w:r>
        <w:rPr>
          <w:rFonts w:ascii="Times New Roman" w:hAnsi="Times New Roman" w:cs="Times New Roman"/>
          <w:color w:val="000000" w:themeColor="text1"/>
          <w:sz w:val="24"/>
        </w:rPr>
        <w:t xml:space="preserve"> </w:t>
      </w:r>
      <w:proofErr w:type="spellStart"/>
      <w:proofErr w:type="gramStart"/>
      <w:r>
        <w:rPr>
          <w:rFonts w:ascii="Times New Roman" w:hAnsi="Times New Roman" w:cs="Times New Roman"/>
          <w:b/>
          <w:bCs/>
          <w:color w:val="000000" w:themeColor="text1"/>
          <w:sz w:val="24"/>
        </w:rPr>
        <w:t>a</w:t>
      </w:r>
      <w:proofErr w:type="spellEnd"/>
      <w:proofErr w:type="gramEnd"/>
      <w:r>
        <w:rPr>
          <w:rFonts w:ascii="Times New Roman" w:hAnsi="Times New Roman" w:cs="Times New Roman"/>
          <w:color w:val="000000" w:themeColor="text1"/>
          <w:sz w:val="24"/>
        </w:rPr>
        <w:t xml:space="preserve"> Optical photographs,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SEM images and </w:t>
      </w:r>
      <w:r>
        <w:rPr>
          <w:rFonts w:ascii="Times New Roman" w:hAnsi="Times New Roman" w:cs="Times New Roman"/>
          <w:b/>
          <w:bCs/>
          <w:color w:val="000000" w:themeColor="text1"/>
          <w:sz w:val="24"/>
        </w:rPr>
        <w:t>c</w:t>
      </w:r>
      <w:r>
        <w:rPr>
          <w:rFonts w:ascii="Times New Roman" w:hAnsi="Times New Roman" w:cs="Times New Roman"/>
          <w:color w:val="000000" w:themeColor="text1"/>
          <w:sz w:val="24"/>
        </w:rPr>
        <w:t xml:space="preserve"> XRD patterns of Zn foils after being soaked in ZSO and ZSO/SUSA-0.02 electrolytes for 7 days.</w:t>
      </w:r>
    </w:p>
    <w:p w14:paraId="43BC56DE"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color w:val="000000" w:themeColor="text1"/>
          <w:sz w:val="24"/>
        </w:rPr>
        <w:t>Analysis of the XRD patterns reveals the presence of two pronounced reflections, located at 8.</w:t>
      </w:r>
      <w:r>
        <w:rPr>
          <w:rFonts w:ascii="Times New Roman" w:hAnsi="Times New Roman" w:cs="Times New Roman" w:hint="eastAsia"/>
          <w:color w:val="000000" w:themeColor="text1"/>
          <w:sz w:val="24"/>
        </w:rPr>
        <w:t>82</w:t>
      </w:r>
      <w:r>
        <w:rPr>
          <w:rFonts w:ascii="Times New Roman" w:hAnsi="Times New Roman" w:cs="Times New Roman"/>
          <w:color w:val="000000" w:themeColor="text1"/>
          <w:sz w:val="24"/>
        </w:rPr>
        <w:t>°</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and 9.</w:t>
      </w:r>
      <w:r>
        <w:rPr>
          <w:rFonts w:ascii="Times New Roman" w:hAnsi="Times New Roman" w:cs="Times New Roman" w:hint="eastAsia"/>
          <w:color w:val="000000" w:themeColor="text1"/>
          <w:sz w:val="24"/>
        </w:rPr>
        <w:t>66</w:t>
      </w:r>
      <w:r>
        <w:rPr>
          <w:rFonts w:ascii="Times New Roman" w:hAnsi="Times New Roman" w:cs="Times New Roman"/>
          <w:color w:val="000000" w:themeColor="text1"/>
          <w:sz w:val="24"/>
        </w:rPr>
        <w:t>°. These are identified as the signature peaks of Zn</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SO</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(OH)</w:t>
      </w:r>
      <w:r>
        <w:rPr>
          <w:rFonts w:ascii="Times New Roman" w:hAnsi="Times New Roman" w:cs="Times New Roman" w:hint="eastAsia"/>
          <w:color w:val="000000" w:themeColor="text1"/>
          <w:sz w:val="24"/>
          <w:vertAlign w:val="subscript"/>
        </w:rPr>
        <w:t>6</w:t>
      </w:r>
      <w:r>
        <w:rPr>
          <w:rFonts w:ascii="Times New Roman" w:hAnsi="Times New Roman" w:cs="Times New Roman"/>
          <w:color w:val="000000" w:themeColor="text1"/>
          <w:sz w:val="24"/>
        </w:rPr>
        <w:t>·4H</w:t>
      </w:r>
      <w:r>
        <w:rPr>
          <w:rFonts w:ascii="Times New Roman" w:hAnsi="Times New Roman" w:cs="Times New Roman" w:hint="eastAsia"/>
          <w:color w:val="000000" w:themeColor="text1"/>
          <w:sz w:val="24"/>
          <w:vertAlign w:val="subscript"/>
        </w:rPr>
        <w:t>2</w:t>
      </w:r>
      <w:r>
        <w:rPr>
          <w:rFonts w:ascii="Times New Roman" w:hAnsi="Times New Roman" w:cs="Times New Roman"/>
          <w:color w:val="000000" w:themeColor="text1"/>
          <w:sz w:val="24"/>
        </w:rPr>
        <w:t>O (PDF#44-0673) and Zn</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SO</w:t>
      </w:r>
      <w:r>
        <w:rPr>
          <w:rFonts w:ascii="Times New Roman" w:hAnsi="Times New Roman" w:cs="Times New Roman" w:hint="eastAsia"/>
          <w:color w:val="000000" w:themeColor="text1"/>
          <w:sz w:val="24"/>
          <w:vertAlign w:val="subscript"/>
        </w:rPr>
        <w:t>4</w:t>
      </w:r>
      <w:r>
        <w:rPr>
          <w:rFonts w:ascii="Times New Roman" w:hAnsi="Times New Roman" w:cs="Times New Roman"/>
          <w:color w:val="000000" w:themeColor="text1"/>
          <w:sz w:val="24"/>
        </w:rPr>
        <w:t>(OH)</w:t>
      </w:r>
      <w:r>
        <w:rPr>
          <w:rFonts w:ascii="Times New Roman" w:hAnsi="Times New Roman" w:cs="Times New Roman" w:hint="eastAsia"/>
          <w:color w:val="000000" w:themeColor="text1"/>
          <w:sz w:val="24"/>
          <w:vertAlign w:val="subscript"/>
        </w:rPr>
        <w:t>6</w:t>
      </w:r>
      <w:r>
        <w:rPr>
          <w:rFonts w:ascii="Times New Roman" w:hAnsi="Times New Roman" w:cs="Times New Roman"/>
          <w:color w:val="000000" w:themeColor="text1"/>
          <w:sz w:val="24"/>
        </w:rPr>
        <w:t>·3H</w:t>
      </w:r>
      <w:r>
        <w:rPr>
          <w:rFonts w:ascii="Times New Roman" w:hAnsi="Times New Roman" w:cs="Times New Roman" w:hint="eastAsia"/>
          <w:color w:val="000000" w:themeColor="text1"/>
          <w:sz w:val="24"/>
          <w:vertAlign w:val="subscript"/>
        </w:rPr>
        <w:t>2</w:t>
      </w:r>
      <w:r>
        <w:rPr>
          <w:rFonts w:ascii="Times New Roman" w:hAnsi="Times New Roman" w:cs="Times New Roman"/>
          <w:color w:val="000000" w:themeColor="text1"/>
          <w:sz w:val="24"/>
        </w:rPr>
        <w:t>O (PDF#39-0689), respectively.</w:t>
      </w:r>
    </w:p>
    <w:p w14:paraId="2B5D6AE0"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rPr>
        <w:lastRenderedPageBreak/>
        <w:drawing>
          <wp:inline distT="0" distB="0" distL="114300" distR="114300" wp14:anchorId="5D55F830" wp14:editId="461F2274">
            <wp:extent cx="4964430" cy="2239010"/>
            <wp:effectExtent l="0" t="0" r="762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8"/>
                    <a:stretch>
                      <a:fillRect/>
                    </a:stretch>
                  </pic:blipFill>
                  <pic:spPr>
                    <a:xfrm>
                      <a:off x="0" y="0"/>
                      <a:ext cx="4964430" cy="2239010"/>
                    </a:xfrm>
                    <a:prstGeom prst="rect">
                      <a:avLst/>
                    </a:prstGeom>
                    <a:noFill/>
                    <a:ln>
                      <a:noFill/>
                    </a:ln>
                  </pic:spPr>
                </pic:pic>
              </a:graphicData>
            </a:graphic>
          </wp:inline>
        </w:drawing>
      </w:r>
    </w:p>
    <w:p w14:paraId="39D9E041"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4</w:t>
      </w:r>
      <w:r>
        <w:rPr>
          <w:rFonts w:ascii="Times New Roman" w:hAnsi="Times New Roman" w:cs="Times New Roman"/>
          <w:color w:val="000000" w:themeColor="text1"/>
          <w:sz w:val="24"/>
        </w:rPr>
        <w:t xml:space="preserve"> Cyclic voltammograms acquired at varying scanning rates for electrochemical double-layer capacitance assessment within</w:t>
      </w:r>
      <w:r>
        <w:rPr>
          <w:rFonts w:ascii="Times New Roman" w:hAnsi="Times New Roman" w:cs="Times New Roman"/>
          <w:b/>
          <w:bCs/>
          <w:color w:val="000000" w:themeColor="text1"/>
          <w:sz w:val="24"/>
        </w:rPr>
        <w:t xml:space="preserve"> a</w:t>
      </w:r>
      <w:r>
        <w:rPr>
          <w:rFonts w:ascii="Times New Roman" w:hAnsi="Times New Roman" w:cs="Times New Roman"/>
          <w:color w:val="000000" w:themeColor="text1"/>
          <w:sz w:val="24"/>
        </w:rPr>
        <w:t xml:space="preserve"> ZSO and</w:t>
      </w:r>
      <w:r>
        <w:rPr>
          <w:rFonts w:ascii="Times New Roman" w:hAnsi="Times New Roman" w:cs="Times New Roman" w:hint="eastAsia"/>
          <w:color w:val="000000" w:themeColor="text1"/>
          <w:sz w:val="24"/>
        </w:rPr>
        <w:t xml:space="preserve">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ZSO/SUSA-0.02 electrolytes.</w:t>
      </w:r>
    </w:p>
    <w:p w14:paraId="767CDF06"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rPr>
        <w:drawing>
          <wp:inline distT="0" distB="0" distL="114300" distR="114300" wp14:anchorId="33798DE3" wp14:editId="59451DD2">
            <wp:extent cx="2646045" cy="2308225"/>
            <wp:effectExtent l="0" t="0" r="190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9"/>
                    <a:stretch>
                      <a:fillRect/>
                    </a:stretch>
                  </pic:blipFill>
                  <pic:spPr>
                    <a:xfrm>
                      <a:off x="0" y="0"/>
                      <a:ext cx="2646045" cy="2308225"/>
                    </a:xfrm>
                    <a:prstGeom prst="rect">
                      <a:avLst/>
                    </a:prstGeom>
                    <a:noFill/>
                    <a:ln>
                      <a:noFill/>
                    </a:ln>
                  </pic:spPr>
                </pic:pic>
              </a:graphicData>
            </a:graphic>
          </wp:inline>
        </w:drawing>
      </w:r>
    </w:p>
    <w:p w14:paraId="2F84D8F9"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5</w:t>
      </w:r>
      <w:r>
        <w:rPr>
          <w:rFonts w:ascii="Times New Roman" w:hAnsi="Times New Roman" w:cs="Times New Roman"/>
          <w:color w:val="000000" w:themeColor="text1"/>
          <w:sz w:val="24"/>
        </w:rPr>
        <w:t xml:space="preserve"> LSV with and without SUSA tested in a three-electrode system.</w:t>
      </w:r>
    </w:p>
    <w:p w14:paraId="1684A299"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4B95F1C2" wp14:editId="52686B9A">
            <wp:extent cx="2252980" cy="2186305"/>
            <wp:effectExtent l="0" t="0" r="4445" b="4445"/>
            <wp:docPr id="38" name="图片 38" descr="屏幕截图 2026-02-08 14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屏幕截图 2026-02-08 141635"/>
                    <pic:cNvPicPr>
                      <a:picLocks noChangeAspect="1"/>
                    </pic:cNvPicPr>
                  </pic:nvPicPr>
                  <pic:blipFill>
                    <a:blip r:embed="rId30"/>
                    <a:stretch>
                      <a:fillRect/>
                    </a:stretch>
                  </pic:blipFill>
                  <pic:spPr>
                    <a:xfrm>
                      <a:off x="0" y="0"/>
                      <a:ext cx="2252980" cy="2186305"/>
                    </a:xfrm>
                    <a:prstGeom prst="rect">
                      <a:avLst/>
                    </a:prstGeom>
                  </pic:spPr>
                </pic:pic>
              </a:graphicData>
            </a:graphic>
          </wp:inline>
        </w:drawing>
      </w:r>
    </w:p>
    <w:p w14:paraId="795E8EC3"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6</w:t>
      </w:r>
      <w:r>
        <w:rPr>
          <w:rFonts w:ascii="Times New Roman" w:hAnsi="Times New Roman" w:cs="Times New Roman"/>
          <w:color w:val="000000" w:themeColor="text1"/>
          <w:sz w:val="24"/>
        </w:rPr>
        <w:t xml:space="preserve"> X-ray photoelectron spectroscopy (XPS) survey spectrum of </w:t>
      </w:r>
      <w:proofErr w:type="spellStart"/>
      <w:r>
        <w:rPr>
          <w:rFonts w:ascii="Times New Roman" w:hAnsi="Times New Roman" w:cs="Times New Roman"/>
          <w:color w:val="000000" w:themeColor="text1"/>
          <w:sz w:val="24"/>
        </w:rPr>
        <w:t>of</w:t>
      </w:r>
      <w:proofErr w:type="spellEnd"/>
      <w:r>
        <w:rPr>
          <w:rFonts w:ascii="Times New Roman" w:hAnsi="Times New Roman" w:cs="Times New Roman"/>
          <w:color w:val="000000" w:themeColor="text1"/>
          <w:sz w:val="24"/>
        </w:rPr>
        <w:t xml:space="preserve"> zinc anode electroplated for 5 min at 1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within electrolytes with/without SUSA.</w:t>
      </w:r>
    </w:p>
    <w:p w14:paraId="3B97BE1C"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lastRenderedPageBreak/>
        <w:drawing>
          <wp:inline distT="0" distB="0" distL="114300" distR="114300" wp14:anchorId="0AF4E1C5" wp14:editId="6F85E87A">
            <wp:extent cx="5040630" cy="2204085"/>
            <wp:effectExtent l="0" t="0" r="7620" b="5715"/>
            <wp:docPr id="37" name="图片 37" descr="屏幕截图 2026-02-08 14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屏幕截图 2026-02-08 141642"/>
                    <pic:cNvPicPr>
                      <a:picLocks noChangeAspect="1"/>
                    </pic:cNvPicPr>
                  </pic:nvPicPr>
                  <pic:blipFill>
                    <a:blip r:embed="rId31"/>
                    <a:stretch>
                      <a:fillRect/>
                    </a:stretch>
                  </pic:blipFill>
                  <pic:spPr>
                    <a:xfrm>
                      <a:off x="0" y="0"/>
                      <a:ext cx="5040630" cy="2204085"/>
                    </a:xfrm>
                    <a:prstGeom prst="rect">
                      <a:avLst/>
                    </a:prstGeom>
                  </pic:spPr>
                </pic:pic>
              </a:graphicData>
            </a:graphic>
          </wp:inline>
        </w:drawing>
      </w:r>
    </w:p>
    <w:p w14:paraId="476507F8"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7</w:t>
      </w:r>
      <w:r>
        <w:rPr>
          <w:rFonts w:ascii="Times New Roman" w:hAnsi="Times New Roman" w:cs="Times New Roman"/>
          <w:color w:val="000000" w:themeColor="text1"/>
          <w:sz w:val="24"/>
        </w:rPr>
        <w:t xml:space="preserve"> Voltage profiles of Zn||Cu half-cells cycled within </w:t>
      </w:r>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ZSO and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ZSO/SUSA-0.02 electrolytes.</w:t>
      </w:r>
    </w:p>
    <w:p w14:paraId="09EFA018"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7F348D13" wp14:editId="1E14FC61">
            <wp:extent cx="2821305" cy="2143760"/>
            <wp:effectExtent l="0" t="0" r="7620" b="8890"/>
            <wp:docPr id="36" name="图片 36" descr="屏幕截图 2026-02-08 14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屏幕截图 2026-02-08 141649"/>
                    <pic:cNvPicPr>
                      <a:picLocks noChangeAspect="1"/>
                    </pic:cNvPicPr>
                  </pic:nvPicPr>
                  <pic:blipFill>
                    <a:blip r:embed="rId32"/>
                    <a:stretch>
                      <a:fillRect/>
                    </a:stretch>
                  </pic:blipFill>
                  <pic:spPr>
                    <a:xfrm>
                      <a:off x="0" y="0"/>
                      <a:ext cx="2821305" cy="2143760"/>
                    </a:xfrm>
                    <a:prstGeom prst="rect">
                      <a:avLst/>
                    </a:prstGeom>
                  </pic:spPr>
                </pic:pic>
              </a:graphicData>
            </a:graphic>
          </wp:inline>
        </w:drawing>
      </w:r>
    </w:p>
    <w:p w14:paraId="48DD7AE1"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8</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CE of Zn||Cu half cells in ZSO with/without SUSA electrolytes cycled under 5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1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w:t>
      </w:r>
    </w:p>
    <w:p w14:paraId="73BFF27C"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2622CD10" wp14:editId="20219EA7">
            <wp:extent cx="4448175" cy="1894840"/>
            <wp:effectExtent l="0" t="0" r="0" b="635"/>
            <wp:docPr id="35" name="图片 35" descr="屏幕截图 2026-02-08 14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屏幕截图 2026-02-08 141713"/>
                    <pic:cNvPicPr>
                      <a:picLocks noChangeAspect="1"/>
                    </pic:cNvPicPr>
                  </pic:nvPicPr>
                  <pic:blipFill>
                    <a:blip r:embed="rId33"/>
                    <a:stretch>
                      <a:fillRect/>
                    </a:stretch>
                  </pic:blipFill>
                  <pic:spPr>
                    <a:xfrm>
                      <a:off x="0" y="0"/>
                      <a:ext cx="4448175" cy="1894840"/>
                    </a:xfrm>
                    <a:prstGeom prst="rect">
                      <a:avLst/>
                    </a:prstGeom>
                  </pic:spPr>
                </pic:pic>
              </a:graphicData>
            </a:graphic>
          </wp:inline>
        </w:drawing>
      </w:r>
    </w:p>
    <w:p w14:paraId="25C67CB4"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9</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Cycling performance characterization of Zn||Zn symmetric cells in ZSO with/without SUSA electrolytes under 1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1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w:t>
      </w:r>
    </w:p>
    <w:p w14:paraId="4AAAD065" w14:textId="77777777" w:rsidR="000C2399" w:rsidRDefault="00753684" w:rsidP="00533892">
      <w:pPr>
        <w:spacing w:before="120" w:after="120"/>
        <w:jc w:val="center"/>
        <w:rPr>
          <w:rFonts w:ascii="Times New Roman" w:hAnsi="Times New Roman" w:cs="Times New Roman"/>
          <w:b/>
          <w:bCs/>
          <w:color w:val="000000" w:themeColor="text1"/>
          <w:sz w:val="18"/>
          <w:szCs w:val="18"/>
        </w:rPr>
      </w:pPr>
      <w:r>
        <w:rPr>
          <w:noProof/>
          <w:color w:val="000000" w:themeColor="text1"/>
        </w:rPr>
        <w:lastRenderedPageBreak/>
        <w:drawing>
          <wp:inline distT="0" distB="0" distL="114300" distR="114300" wp14:anchorId="44D03D37" wp14:editId="03C94AF0">
            <wp:extent cx="2449830" cy="3209290"/>
            <wp:effectExtent l="0" t="0" r="7620" b="635"/>
            <wp:docPr id="1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pic:cNvPicPr>
                      <a:picLocks noChangeAspect="1"/>
                    </pic:cNvPicPr>
                  </pic:nvPicPr>
                  <pic:blipFill>
                    <a:blip r:embed="rId34"/>
                    <a:stretch>
                      <a:fillRect/>
                    </a:stretch>
                  </pic:blipFill>
                  <pic:spPr>
                    <a:xfrm>
                      <a:off x="0" y="0"/>
                      <a:ext cx="2449830" cy="3209290"/>
                    </a:xfrm>
                    <a:prstGeom prst="rect">
                      <a:avLst/>
                    </a:prstGeom>
                    <a:noFill/>
                    <a:ln>
                      <a:noFill/>
                    </a:ln>
                  </pic:spPr>
                </pic:pic>
              </a:graphicData>
            </a:graphic>
          </wp:inline>
        </w:drawing>
      </w:r>
    </w:p>
    <w:p w14:paraId="160985B7"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10</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 xml:space="preserve">Cycling performance characterization of Zn||Zn symmetric cells in ZSO with/without SUSA electrolytes under </w:t>
      </w:r>
      <w:r>
        <w:rPr>
          <w:rFonts w:ascii="Times New Roman" w:hAnsi="Times New Roman" w:cs="Times New Roman" w:hint="eastAsia"/>
          <w:color w:val="000000" w:themeColor="text1"/>
          <w:sz w:val="24"/>
        </w:rPr>
        <w:t>1</w:t>
      </w:r>
      <w:r>
        <w:rPr>
          <w:rFonts w:ascii="Times New Roman" w:hAnsi="Times New Roman" w:cs="Times New Roman"/>
          <w:color w:val="000000" w:themeColor="text1"/>
          <w:sz w:val="24"/>
        </w:rPr>
        <w:t>0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10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w:t>
      </w:r>
    </w:p>
    <w:p w14:paraId="065B7ADA" w14:textId="77777777" w:rsidR="000C2399" w:rsidRDefault="00753684" w:rsidP="00533892">
      <w:pPr>
        <w:spacing w:before="120" w:after="120"/>
        <w:jc w:val="center"/>
        <w:rPr>
          <w:rFonts w:ascii="Times New Roman" w:hAnsi="Times New Roman" w:cs="Times New Roman"/>
          <w:color w:val="000000" w:themeColor="text1"/>
          <w:sz w:val="18"/>
          <w:szCs w:val="18"/>
        </w:rPr>
      </w:pPr>
      <w:r>
        <w:rPr>
          <w:noProof/>
          <w:color w:val="000000" w:themeColor="text1"/>
        </w:rPr>
        <w:drawing>
          <wp:inline distT="0" distB="0" distL="114300" distR="114300" wp14:anchorId="5C4C9880" wp14:editId="01835300">
            <wp:extent cx="2759710" cy="3425190"/>
            <wp:effectExtent l="0" t="0" r="2540" b="3810"/>
            <wp:docPr id="1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1"/>
                    <pic:cNvPicPr>
                      <a:picLocks noChangeAspect="1"/>
                    </pic:cNvPicPr>
                  </pic:nvPicPr>
                  <pic:blipFill>
                    <a:blip r:embed="rId35"/>
                    <a:stretch>
                      <a:fillRect/>
                    </a:stretch>
                  </pic:blipFill>
                  <pic:spPr>
                    <a:xfrm>
                      <a:off x="0" y="0"/>
                      <a:ext cx="2759710" cy="3425190"/>
                    </a:xfrm>
                    <a:prstGeom prst="rect">
                      <a:avLst/>
                    </a:prstGeom>
                    <a:noFill/>
                    <a:ln>
                      <a:noFill/>
                    </a:ln>
                  </pic:spPr>
                </pic:pic>
              </a:graphicData>
            </a:graphic>
          </wp:inline>
        </w:drawing>
      </w:r>
    </w:p>
    <w:p w14:paraId="7E84A79A"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11</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Cycling performance characterization of Zn||Zn symmetric cells in ZSO with/without SUSA electrolytes under 20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10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w:t>
      </w:r>
    </w:p>
    <w:p w14:paraId="421EB7CE"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lastRenderedPageBreak/>
        <w:drawing>
          <wp:inline distT="0" distB="0" distL="114300" distR="114300" wp14:anchorId="2613DB14" wp14:editId="62C84AF5">
            <wp:extent cx="2845435" cy="2087880"/>
            <wp:effectExtent l="0" t="0" r="2540" b="7620"/>
            <wp:docPr id="33" name="图片 33" descr="屏幕截图 2026-02-08 14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屏幕截图 2026-02-08 141727"/>
                    <pic:cNvPicPr>
                      <a:picLocks noChangeAspect="1"/>
                    </pic:cNvPicPr>
                  </pic:nvPicPr>
                  <pic:blipFill>
                    <a:blip r:embed="rId36"/>
                    <a:stretch>
                      <a:fillRect/>
                    </a:stretch>
                  </pic:blipFill>
                  <pic:spPr>
                    <a:xfrm>
                      <a:off x="0" y="0"/>
                      <a:ext cx="2845435" cy="2087880"/>
                    </a:xfrm>
                    <a:prstGeom prst="rect">
                      <a:avLst/>
                    </a:prstGeom>
                  </pic:spPr>
                </pic:pic>
              </a:graphicData>
            </a:graphic>
          </wp:inline>
        </w:drawing>
      </w:r>
    </w:p>
    <w:p w14:paraId="2F7E333A"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12</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Comparison of polarization voltages of Zn||Zn symmetric cells within different electrolytes under rate performance tests.</w:t>
      </w:r>
    </w:p>
    <w:p w14:paraId="1780064C"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38F0834A" wp14:editId="7DE98DCA">
            <wp:extent cx="2594610" cy="2150745"/>
            <wp:effectExtent l="0" t="0" r="5715" b="1905"/>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icPr>
                  <pic:blipFill>
                    <a:blip r:embed="rId37"/>
                    <a:stretch>
                      <a:fillRect/>
                    </a:stretch>
                  </pic:blipFill>
                  <pic:spPr>
                    <a:xfrm>
                      <a:off x="0" y="0"/>
                      <a:ext cx="2594610" cy="2150745"/>
                    </a:xfrm>
                    <a:prstGeom prst="rect">
                      <a:avLst/>
                    </a:prstGeom>
                    <a:noFill/>
                    <a:ln>
                      <a:noFill/>
                    </a:ln>
                  </pic:spPr>
                </pic:pic>
              </a:graphicData>
            </a:graphic>
          </wp:inline>
        </w:drawing>
      </w:r>
    </w:p>
    <w:p w14:paraId="257E5D5D" w14:textId="77777777" w:rsidR="000C2399" w:rsidRDefault="00753684" w:rsidP="00533892">
      <w:pPr>
        <w:spacing w:before="120" w:after="120"/>
        <w:rPr>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13</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 xml:space="preserve">Rate performance tests under varying temperatures within </w:t>
      </w:r>
      <w:r>
        <w:rPr>
          <w:rFonts w:ascii="Times New Roman" w:hAnsi="Times New Roman" w:cs="Times New Roman" w:hint="eastAsia"/>
          <w:color w:val="000000" w:themeColor="text1"/>
          <w:sz w:val="24"/>
        </w:rPr>
        <w:t>ZSO</w:t>
      </w:r>
      <w:r>
        <w:rPr>
          <w:rFonts w:ascii="Times New Roman" w:hAnsi="Times New Roman" w:cs="Times New Roman"/>
          <w:color w:val="000000" w:themeColor="text1"/>
          <w:sz w:val="24"/>
        </w:rPr>
        <w:t xml:space="preserve"> electrolytes</w:t>
      </w:r>
      <w:r>
        <w:rPr>
          <w:rFonts w:ascii="Times New Roman" w:hAnsi="Times New Roman" w:cs="Times New Roman" w:hint="eastAsia"/>
          <w:color w:val="000000" w:themeColor="text1"/>
          <w:sz w:val="24"/>
        </w:rPr>
        <w:t xml:space="preserve"> with/without SUSA adding</w:t>
      </w:r>
      <w:r>
        <w:rPr>
          <w:rFonts w:ascii="Times New Roman" w:hAnsi="Times New Roman" w:cs="Times New Roman"/>
          <w:color w:val="000000" w:themeColor="text1"/>
          <w:sz w:val="24"/>
        </w:rPr>
        <w:t>.</w:t>
      </w:r>
    </w:p>
    <w:p w14:paraId="7BD084C2" w14:textId="77777777" w:rsidR="000C2399" w:rsidRDefault="00753684" w:rsidP="00533892">
      <w:pPr>
        <w:spacing w:before="120" w:after="120"/>
        <w:jc w:val="center"/>
        <w:rPr>
          <w:rFonts w:ascii="Times New Roman" w:hAnsi="Times New Roman" w:cs="Times New Roman"/>
          <w:color w:val="000000" w:themeColor="text1"/>
          <w:sz w:val="18"/>
          <w:szCs w:val="18"/>
        </w:rPr>
      </w:pPr>
      <w:r>
        <w:rPr>
          <w:noProof/>
          <w:color w:val="000000" w:themeColor="text1"/>
        </w:rPr>
        <w:drawing>
          <wp:inline distT="0" distB="0" distL="114300" distR="114300" wp14:anchorId="03F16B68" wp14:editId="5FB23358">
            <wp:extent cx="2378075" cy="2115820"/>
            <wp:effectExtent l="0" t="0" r="3175" b="8255"/>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4"/>
                    <pic:cNvPicPr>
                      <a:picLocks noChangeAspect="1"/>
                    </pic:cNvPicPr>
                  </pic:nvPicPr>
                  <pic:blipFill>
                    <a:blip r:embed="rId38"/>
                    <a:stretch>
                      <a:fillRect/>
                    </a:stretch>
                  </pic:blipFill>
                  <pic:spPr>
                    <a:xfrm>
                      <a:off x="0" y="0"/>
                      <a:ext cx="2378075" cy="2115820"/>
                    </a:xfrm>
                    <a:prstGeom prst="rect">
                      <a:avLst/>
                    </a:prstGeom>
                    <a:noFill/>
                    <a:ln>
                      <a:noFill/>
                    </a:ln>
                  </pic:spPr>
                </pic:pic>
              </a:graphicData>
            </a:graphic>
          </wp:inline>
        </w:drawing>
      </w:r>
    </w:p>
    <w:p w14:paraId="09820DBA" w14:textId="77777777" w:rsidR="000C2399" w:rsidRDefault="00753684" w:rsidP="00533892">
      <w:pPr>
        <w:spacing w:before="120" w:after="120"/>
        <w:rPr>
          <w:rFonts w:ascii="Times New Roman" w:eastAsia="宋体" w:hAnsi="Times New Roman" w:cs="Times New Roman"/>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14</w:t>
      </w:r>
      <w:r>
        <w:rPr>
          <w:rFonts w:ascii="Times New Roman" w:hAnsi="Times New Roman" w:cs="Times New Roman"/>
          <w:color w:val="000000" w:themeColor="text1"/>
          <w:sz w:val="24"/>
        </w:rPr>
        <w:t xml:space="preserve"> DSC test from 10 to -45 </w:t>
      </w:r>
      <w:r>
        <w:rPr>
          <w:rFonts w:ascii="Times New Roman" w:eastAsia="宋体" w:hAnsi="Times New Roman" w:cs="Times New Roman"/>
          <w:color w:val="000000" w:themeColor="text1"/>
          <w:sz w:val="24"/>
        </w:rPr>
        <w:t>℃ at a freezing rate of 5 ℃ min</w:t>
      </w:r>
      <w:r>
        <w:rPr>
          <w:rFonts w:ascii="Times New Roman" w:eastAsia="宋体" w:hAnsi="Times New Roman" w:cs="Times New Roman"/>
          <w:color w:val="000000" w:themeColor="text1"/>
          <w:sz w:val="24"/>
          <w:vertAlign w:val="superscript"/>
        </w:rPr>
        <w:t>-1</w:t>
      </w:r>
      <w:r>
        <w:rPr>
          <w:rFonts w:ascii="Times New Roman" w:eastAsia="宋体" w:hAnsi="Times New Roman" w:cs="Times New Roman"/>
          <w:color w:val="000000" w:themeColor="text1"/>
          <w:sz w:val="24"/>
        </w:rPr>
        <w:t>.</w:t>
      </w:r>
    </w:p>
    <w:p w14:paraId="5D5546CD" w14:textId="77777777" w:rsidR="000C2399" w:rsidRDefault="00753684" w:rsidP="00533892">
      <w:pPr>
        <w:spacing w:before="120" w:after="120"/>
        <w:jc w:val="center"/>
        <w:rPr>
          <w:color w:val="000000" w:themeColor="text1"/>
        </w:rPr>
      </w:pPr>
      <w:r>
        <w:rPr>
          <w:noProof/>
          <w:color w:val="000000" w:themeColor="text1"/>
        </w:rPr>
        <w:lastRenderedPageBreak/>
        <w:drawing>
          <wp:inline distT="0" distB="0" distL="114300" distR="114300" wp14:anchorId="5268AA82" wp14:editId="23F1D36C">
            <wp:extent cx="2921330" cy="3656861"/>
            <wp:effectExtent l="0" t="0" r="0" b="12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9"/>
                    <a:stretch>
                      <a:fillRect/>
                    </a:stretch>
                  </pic:blipFill>
                  <pic:spPr>
                    <a:xfrm>
                      <a:off x="0" y="0"/>
                      <a:ext cx="2926940" cy="3663884"/>
                    </a:xfrm>
                    <a:prstGeom prst="rect">
                      <a:avLst/>
                    </a:prstGeom>
                    <a:noFill/>
                    <a:ln>
                      <a:noFill/>
                    </a:ln>
                  </pic:spPr>
                </pic:pic>
              </a:graphicData>
            </a:graphic>
          </wp:inline>
        </w:drawing>
      </w:r>
    </w:p>
    <w:p w14:paraId="234729A5" w14:textId="053FFEBC" w:rsidR="000C2399" w:rsidRDefault="00753684" w:rsidP="00892AE3">
      <w:pPr>
        <w:spacing w:before="120" w:after="120"/>
        <w:rPr>
          <w:rFonts w:ascii="Times New Roman" w:hAnsi="Times New Roman" w:cs="Times New Roman"/>
          <w:color w:val="000000" w:themeColor="text1"/>
          <w:sz w:val="18"/>
          <w:szCs w:val="18"/>
        </w:rPr>
      </w:pPr>
      <w:r>
        <w:rPr>
          <w:rFonts w:ascii="Times New Roman" w:hAnsi="Times New Roman" w:cs="Times New Roman"/>
          <w:b/>
          <w:bCs/>
          <w:color w:val="000000" w:themeColor="text1"/>
          <w:sz w:val="24"/>
        </w:rPr>
        <w:t>Fig. S1</w:t>
      </w:r>
      <w:r>
        <w:rPr>
          <w:rFonts w:ascii="Times New Roman" w:hAnsi="Times New Roman" w:cs="Times New Roman" w:hint="eastAsia"/>
          <w:b/>
          <w:bCs/>
          <w:color w:val="000000" w:themeColor="text1"/>
          <w:sz w:val="24"/>
        </w:rPr>
        <w:t>5</w:t>
      </w:r>
      <w:r>
        <w:rPr>
          <w:b/>
          <w:bCs/>
          <w:color w:val="000000" w:themeColor="text1"/>
          <w:sz w:val="24"/>
        </w:rPr>
        <w:t xml:space="preserve"> </w:t>
      </w:r>
      <w:r>
        <w:rPr>
          <w:rFonts w:ascii="Times New Roman" w:hAnsi="Times New Roman" w:cs="Times New Roman"/>
          <w:color w:val="000000" w:themeColor="text1"/>
          <w:sz w:val="24"/>
        </w:rPr>
        <w:t>SEM images of the frontal and cross-sectional views of the Zn electrode at 0.25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0.25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under 60 </w:t>
      </w:r>
      <w:r>
        <w:rPr>
          <w:rFonts w:ascii="Times New Roman" w:eastAsia="宋体" w:hAnsi="Times New Roman" w:cs="Times New Roman"/>
          <w:color w:val="000000" w:themeColor="text1"/>
          <w:sz w:val="24"/>
        </w:rPr>
        <w:t>℃</w:t>
      </w:r>
      <w:r>
        <w:rPr>
          <w:rFonts w:ascii="Times New Roman" w:hAnsi="Times New Roman" w:cs="Times New Roman"/>
          <w:color w:val="000000" w:themeColor="text1"/>
          <w:sz w:val="24"/>
        </w:rPr>
        <w:t xml:space="preserve"> in </w:t>
      </w:r>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ZSO electrolyte (short-circuited at the 10</w:t>
      </w:r>
      <w:r>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cycle),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ZSO/SUSA-0.02 electrolyte after 50 cycles,</w:t>
      </w:r>
      <w:r>
        <w:rPr>
          <w:rFonts w:ascii="Times New Roman" w:hAnsi="Times New Roman" w:cs="Times New Roman"/>
          <w:b/>
          <w:bCs/>
          <w:color w:val="000000" w:themeColor="text1"/>
          <w:sz w:val="24"/>
        </w:rPr>
        <w:t xml:space="preserve"> c</w:t>
      </w:r>
      <w:r>
        <w:rPr>
          <w:rFonts w:ascii="Times New Roman" w:hAnsi="Times New Roman" w:cs="Times New Roman"/>
          <w:color w:val="000000" w:themeColor="text1"/>
          <w:sz w:val="24"/>
        </w:rPr>
        <w:t xml:space="preserve"> ZSO/SUSA-0.02 electrolyte after 100 cycles.</w:t>
      </w:r>
    </w:p>
    <w:p w14:paraId="7C1554A9"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129FF2E7" wp14:editId="265E3F22">
            <wp:extent cx="2660650" cy="3232901"/>
            <wp:effectExtent l="0" t="0" r="6350" b="5715"/>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icPr>
                  <pic:blipFill rotWithShape="1">
                    <a:blip r:embed="rId40"/>
                    <a:srcRect t="4891"/>
                    <a:stretch/>
                  </pic:blipFill>
                  <pic:spPr bwMode="auto">
                    <a:xfrm>
                      <a:off x="0" y="0"/>
                      <a:ext cx="2660650" cy="3232901"/>
                    </a:xfrm>
                    <a:prstGeom prst="rect">
                      <a:avLst/>
                    </a:prstGeom>
                    <a:noFill/>
                    <a:ln>
                      <a:noFill/>
                    </a:ln>
                    <a:extLst>
                      <a:ext uri="{53640926-AAD7-44D8-BBD7-CCE9431645EC}">
                        <a14:shadowObscured xmlns:a14="http://schemas.microsoft.com/office/drawing/2010/main"/>
                      </a:ext>
                    </a:extLst>
                  </pic:spPr>
                </pic:pic>
              </a:graphicData>
            </a:graphic>
          </wp:inline>
        </w:drawing>
      </w:r>
    </w:p>
    <w:p w14:paraId="595DE0A9" w14:textId="77777777" w:rsidR="000C2399" w:rsidRDefault="00753684" w:rsidP="00533892">
      <w:pPr>
        <w:spacing w:before="120" w:after="120"/>
        <w:rPr>
          <w:rFonts w:eastAsia="宋体"/>
          <w:color w:val="000000" w:themeColor="text1"/>
          <w:sz w:val="24"/>
        </w:rPr>
      </w:pPr>
      <w:r>
        <w:rPr>
          <w:rFonts w:ascii="Times New Roman" w:hAnsi="Times New Roman" w:cs="Times New Roman"/>
          <w:b/>
          <w:bCs/>
          <w:color w:val="000000" w:themeColor="text1"/>
          <w:sz w:val="24"/>
        </w:rPr>
        <w:t>Fig. S1</w:t>
      </w:r>
      <w:r>
        <w:rPr>
          <w:rFonts w:ascii="Times New Roman" w:hAnsi="Times New Roman" w:cs="Times New Roman" w:hint="eastAsia"/>
          <w:b/>
          <w:bCs/>
          <w:color w:val="000000" w:themeColor="text1"/>
          <w:sz w:val="24"/>
        </w:rPr>
        <w:t>6</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 xml:space="preserve">Electrochemical performance characterization of Zn||Zn symmetric cells in ZSO with/without SUSA electrolytes cycled under </w:t>
      </w:r>
      <w:r>
        <w:rPr>
          <w:rFonts w:ascii="Times New Roman" w:eastAsia="宋体" w:hAnsi="Times New Roman" w:cs="Times New Roman"/>
          <w:color w:val="000000" w:themeColor="text1"/>
          <w:sz w:val="24"/>
        </w:rPr>
        <w:t>10 mA cm</w:t>
      </w:r>
      <w:r>
        <w:rPr>
          <w:rFonts w:ascii="Times New Roman" w:eastAsia="宋体" w:hAnsi="Times New Roman" w:cs="Times New Roman"/>
          <w:color w:val="000000" w:themeColor="text1"/>
          <w:sz w:val="24"/>
          <w:vertAlign w:val="superscript"/>
        </w:rPr>
        <w:t>-2</w:t>
      </w:r>
      <w:r>
        <w:rPr>
          <w:rFonts w:ascii="Times New Roman" w:eastAsia="宋体" w:hAnsi="Times New Roman" w:cs="Times New Roman"/>
          <w:color w:val="000000" w:themeColor="text1"/>
          <w:sz w:val="24"/>
        </w:rPr>
        <w:t xml:space="preserve"> and 10 </w:t>
      </w:r>
      <w:proofErr w:type="spellStart"/>
      <w:r>
        <w:rPr>
          <w:rFonts w:ascii="Times New Roman" w:eastAsia="宋体" w:hAnsi="Times New Roman" w:cs="Times New Roman"/>
          <w:color w:val="000000" w:themeColor="text1"/>
          <w:sz w:val="24"/>
        </w:rPr>
        <w:t>mAh</w:t>
      </w:r>
      <w:proofErr w:type="spellEnd"/>
      <w:r>
        <w:rPr>
          <w:rFonts w:ascii="Times New Roman" w:eastAsia="宋体" w:hAnsi="Times New Roman" w:cs="Times New Roman"/>
          <w:color w:val="000000" w:themeColor="text1"/>
          <w:sz w:val="24"/>
        </w:rPr>
        <w:t xml:space="preserve"> cm</w:t>
      </w:r>
      <w:r>
        <w:rPr>
          <w:rFonts w:ascii="Times New Roman" w:eastAsia="宋体" w:hAnsi="Times New Roman" w:cs="Times New Roman"/>
          <w:color w:val="000000" w:themeColor="text1"/>
          <w:sz w:val="24"/>
          <w:vertAlign w:val="superscript"/>
        </w:rPr>
        <w:t>-2</w:t>
      </w:r>
      <w:r>
        <w:rPr>
          <w:rFonts w:ascii="Times New Roman" w:eastAsia="宋体" w:hAnsi="Times New Roman" w:cs="Times New Roman" w:hint="eastAsia"/>
          <w:color w:val="000000" w:themeColor="text1"/>
          <w:sz w:val="24"/>
        </w:rPr>
        <w:t xml:space="preserve"> (DOD</w:t>
      </w:r>
      <w:r>
        <w:rPr>
          <w:rFonts w:ascii="Times New Roman" w:eastAsia="宋体" w:hAnsi="Times New Roman" w:cs="Times New Roman" w:hint="eastAsia"/>
          <w:color w:val="000000" w:themeColor="text1"/>
          <w:sz w:val="24"/>
        </w:rPr>
        <w:t>≈</w:t>
      </w:r>
      <w:r>
        <w:rPr>
          <w:rFonts w:ascii="Times New Roman" w:eastAsia="宋体" w:hAnsi="Times New Roman" w:cs="Times New Roman" w:hint="eastAsia"/>
          <w:color w:val="000000" w:themeColor="text1"/>
          <w:sz w:val="24"/>
        </w:rPr>
        <w:t>56.9</w:t>
      </w:r>
      <w:r>
        <w:rPr>
          <w:rFonts w:ascii="Times New Roman" w:eastAsia="宋体" w:hAnsi="Times New Roman" w:cs="Times New Roman"/>
          <w:color w:val="000000" w:themeColor="text1"/>
          <w:sz w:val="24"/>
        </w:rPr>
        <w:t>3%)</w:t>
      </w:r>
      <w:r>
        <w:rPr>
          <w:rFonts w:ascii="Times New Roman" w:eastAsia="宋体" w:hAnsi="Times New Roman" w:cs="Times New Roman" w:hint="eastAsia"/>
          <w:color w:val="000000" w:themeColor="text1"/>
          <w:sz w:val="24"/>
        </w:rPr>
        <w:t>.</w:t>
      </w:r>
    </w:p>
    <w:p w14:paraId="0180AA9C" w14:textId="77777777" w:rsidR="000C2399" w:rsidRDefault="00753684" w:rsidP="00533892">
      <w:pPr>
        <w:spacing w:before="120" w:after="120"/>
        <w:jc w:val="center"/>
        <w:rPr>
          <w:color w:val="000000" w:themeColor="text1"/>
        </w:rPr>
      </w:pPr>
      <w:r>
        <w:rPr>
          <w:noProof/>
          <w:color w:val="000000" w:themeColor="text1"/>
        </w:rPr>
        <w:lastRenderedPageBreak/>
        <w:drawing>
          <wp:inline distT="0" distB="0" distL="114300" distR="114300" wp14:anchorId="44D66042" wp14:editId="6F37AD8C">
            <wp:extent cx="2386330" cy="3169920"/>
            <wp:effectExtent l="0" t="0" r="4445" b="1905"/>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pic:cNvPicPr>
                      <a:picLocks noChangeAspect="1"/>
                    </pic:cNvPicPr>
                  </pic:nvPicPr>
                  <pic:blipFill>
                    <a:blip r:embed="rId41"/>
                    <a:stretch>
                      <a:fillRect/>
                    </a:stretch>
                  </pic:blipFill>
                  <pic:spPr>
                    <a:xfrm>
                      <a:off x="0" y="0"/>
                      <a:ext cx="2386330" cy="3169920"/>
                    </a:xfrm>
                    <a:prstGeom prst="rect">
                      <a:avLst/>
                    </a:prstGeom>
                    <a:noFill/>
                    <a:ln>
                      <a:noFill/>
                    </a:ln>
                  </pic:spPr>
                </pic:pic>
              </a:graphicData>
            </a:graphic>
          </wp:inline>
        </w:drawing>
      </w:r>
    </w:p>
    <w:p w14:paraId="401DD5C6"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b/>
          <w:bCs/>
          <w:color w:val="000000" w:themeColor="text1"/>
          <w:sz w:val="24"/>
        </w:rPr>
        <w:t>Fig. S1</w:t>
      </w:r>
      <w:r>
        <w:rPr>
          <w:rFonts w:ascii="Times New Roman" w:hAnsi="Times New Roman" w:cs="Times New Roman" w:hint="eastAsia"/>
          <w:b/>
          <w:bCs/>
          <w:color w:val="000000" w:themeColor="text1"/>
          <w:sz w:val="24"/>
        </w:rPr>
        <w:t>7</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Cycling performance of Zn||Zn symmetric cells under DOD of 51.24%.</w:t>
      </w:r>
    </w:p>
    <w:p w14:paraId="1155B8B9"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4609D170" wp14:editId="01B4A004">
            <wp:extent cx="3232785" cy="1828165"/>
            <wp:effectExtent l="0" t="0" r="5715" b="635"/>
            <wp:docPr id="32" name="图片 32" descr="屏幕截图 2026-02-08 14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屏幕截图 2026-02-08 141733"/>
                    <pic:cNvPicPr>
                      <a:picLocks noChangeAspect="1"/>
                    </pic:cNvPicPr>
                  </pic:nvPicPr>
                  <pic:blipFill>
                    <a:blip r:embed="rId42"/>
                    <a:stretch>
                      <a:fillRect/>
                    </a:stretch>
                  </pic:blipFill>
                  <pic:spPr>
                    <a:xfrm>
                      <a:off x="0" y="0"/>
                      <a:ext cx="3232785" cy="1828165"/>
                    </a:xfrm>
                    <a:prstGeom prst="rect">
                      <a:avLst/>
                    </a:prstGeom>
                  </pic:spPr>
                </pic:pic>
              </a:graphicData>
            </a:graphic>
          </wp:inline>
        </w:drawing>
      </w:r>
    </w:p>
    <w:p w14:paraId="209C558B"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S1</w:t>
      </w:r>
      <w:r>
        <w:rPr>
          <w:rFonts w:ascii="Times New Roman" w:hAnsi="Times New Roman" w:cs="Times New Roman" w:hint="eastAsia"/>
          <w:b/>
          <w:bCs/>
          <w:color w:val="000000" w:themeColor="text1"/>
          <w:sz w:val="24"/>
        </w:rPr>
        <w:t>8</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Cycling performance of Zn||Zn symmetric cells under DOD of 85.4%.</w:t>
      </w:r>
    </w:p>
    <w:p w14:paraId="288A8226"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096B6344" wp14:editId="77CBE8D1">
            <wp:extent cx="2585085" cy="2178685"/>
            <wp:effectExtent l="0" t="0" r="5715" b="2540"/>
            <wp:docPr id="31" name="图片 31" descr="屏幕截图 2026-02-08 14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屏幕截图 2026-02-08 141739"/>
                    <pic:cNvPicPr>
                      <a:picLocks noChangeAspect="1"/>
                    </pic:cNvPicPr>
                  </pic:nvPicPr>
                  <pic:blipFill>
                    <a:blip r:embed="rId43"/>
                    <a:stretch>
                      <a:fillRect/>
                    </a:stretch>
                  </pic:blipFill>
                  <pic:spPr>
                    <a:xfrm>
                      <a:off x="0" y="0"/>
                      <a:ext cx="2585085" cy="2178685"/>
                    </a:xfrm>
                    <a:prstGeom prst="rect">
                      <a:avLst/>
                    </a:prstGeom>
                  </pic:spPr>
                </pic:pic>
              </a:graphicData>
            </a:graphic>
          </wp:inline>
        </w:drawing>
      </w:r>
    </w:p>
    <w:p w14:paraId="64AFBEAC"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19</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XRD pattern of pristine zinc.</w:t>
      </w:r>
    </w:p>
    <w:p w14:paraId="4532C8A4" w14:textId="77777777" w:rsidR="000C2399" w:rsidRDefault="00753684" w:rsidP="00533892">
      <w:pPr>
        <w:spacing w:before="120" w:after="120"/>
        <w:jc w:val="center"/>
        <w:rPr>
          <w:rFonts w:ascii="Times New Roman" w:hAnsi="Times New Roman" w:cs="Times New Roman"/>
          <w:b/>
          <w:bCs/>
          <w:color w:val="000000" w:themeColor="text1"/>
          <w:sz w:val="18"/>
          <w:szCs w:val="18"/>
        </w:rPr>
      </w:pPr>
      <w:r>
        <w:rPr>
          <w:noProof/>
          <w:color w:val="000000" w:themeColor="text1"/>
        </w:rPr>
        <w:lastRenderedPageBreak/>
        <w:drawing>
          <wp:inline distT="0" distB="0" distL="114300" distR="114300" wp14:anchorId="64AF84D6" wp14:editId="1CAF5D3F">
            <wp:extent cx="4957948" cy="2433847"/>
            <wp:effectExtent l="0" t="0" r="0" b="5080"/>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44"/>
                    <a:stretch>
                      <a:fillRect/>
                    </a:stretch>
                  </pic:blipFill>
                  <pic:spPr>
                    <a:xfrm>
                      <a:off x="0" y="0"/>
                      <a:ext cx="4965866" cy="2437734"/>
                    </a:xfrm>
                    <a:prstGeom prst="rect">
                      <a:avLst/>
                    </a:prstGeom>
                    <a:noFill/>
                    <a:ln>
                      <a:noFill/>
                    </a:ln>
                  </pic:spPr>
                </pic:pic>
              </a:graphicData>
            </a:graphic>
          </wp:inline>
        </w:drawing>
      </w:r>
    </w:p>
    <w:p w14:paraId="48481498"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20</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 xml:space="preserve">SEM images of Zn anodes after </w:t>
      </w:r>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100,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150, </w:t>
      </w:r>
      <w:r>
        <w:rPr>
          <w:rFonts w:ascii="Times New Roman" w:hAnsi="Times New Roman" w:cs="Times New Roman"/>
          <w:b/>
          <w:bCs/>
          <w:color w:val="000000" w:themeColor="text1"/>
          <w:sz w:val="24"/>
        </w:rPr>
        <w:t>c</w:t>
      </w:r>
      <w:r>
        <w:rPr>
          <w:rFonts w:ascii="Times New Roman" w:hAnsi="Times New Roman" w:cs="Times New Roman"/>
          <w:color w:val="000000" w:themeColor="text1"/>
          <w:sz w:val="24"/>
        </w:rPr>
        <w:t xml:space="preserve"> 200, and </w:t>
      </w:r>
      <w:r>
        <w:rPr>
          <w:rFonts w:ascii="Times New Roman" w:hAnsi="Times New Roman" w:cs="Times New Roman"/>
          <w:b/>
          <w:bCs/>
          <w:color w:val="000000" w:themeColor="text1"/>
          <w:sz w:val="24"/>
        </w:rPr>
        <w:t>d</w:t>
      </w:r>
      <w:r>
        <w:rPr>
          <w:rFonts w:ascii="Times New Roman" w:hAnsi="Times New Roman" w:cs="Times New Roman"/>
          <w:color w:val="000000" w:themeColor="text1"/>
          <w:sz w:val="24"/>
        </w:rPr>
        <w:t xml:space="preserve"> 250 cycles in ZSO/SUSA-0.02 electrolyte at 10 mA cm⁻² and 10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cm⁻².</w:t>
      </w:r>
    </w:p>
    <w:p w14:paraId="45C296FF"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48397385" wp14:editId="5CAC0093">
            <wp:extent cx="4453247" cy="1772402"/>
            <wp:effectExtent l="0" t="0" r="5080" b="0"/>
            <wp:docPr id="712284510" name="图片 712284510" descr="屏幕截图 2026-02-08 14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84510" name="图片 712284510" descr="屏幕截图 2026-02-08 141754"/>
                    <pic:cNvPicPr>
                      <a:picLocks noChangeAspect="1"/>
                    </pic:cNvPicPr>
                  </pic:nvPicPr>
                  <pic:blipFill>
                    <a:blip r:embed="rId45"/>
                    <a:stretch>
                      <a:fillRect/>
                    </a:stretch>
                  </pic:blipFill>
                  <pic:spPr>
                    <a:xfrm>
                      <a:off x="0" y="0"/>
                      <a:ext cx="4462161" cy="1775950"/>
                    </a:xfrm>
                    <a:prstGeom prst="rect">
                      <a:avLst/>
                    </a:prstGeom>
                  </pic:spPr>
                </pic:pic>
              </a:graphicData>
            </a:graphic>
          </wp:inline>
        </w:drawing>
      </w:r>
    </w:p>
    <w:p w14:paraId="66363689" w14:textId="77777777" w:rsidR="00892AE3" w:rsidRDefault="00753684" w:rsidP="00892AE3">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21</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The L</w:t>
      </w:r>
      <w:r>
        <w:rPr>
          <w:rFonts w:ascii="Times New Roman" w:hAnsi="Times New Roman" w:cs="Times New Roman" w:hint="eastAsia"/>
          <w:color w:val="000000" w:themeColor="text1"/>
          <w:sz w:val="24"/>
        </w:rPr>
        <w:t>SC</w:t>
      </w:r>
      <w:r>
        <w:rPr>
          <w:rFonts w:ascii="Times New Roman" w:hAnsi="Times New Roman" w:cs="Times New Roman"/>
          <w:color w:val="000000" w:themeColor="text1"/>
          <w:sz w:val="24"/>
        </w:rPr>
        <w:t>M images of Zn anodes cycled within</w:t>
      </w:r>
      <w:r>
        <w:rPr>
          <w:rFonts w:ascii="Times New Roman" w:hAnsi="Times New Roman" w:cs="Times New Roman"/>
          <w:b/>
          <w:bCs/>
          <w:color w:val="000000" w:themeColor="text1"/>
          <w:sz w:val="24"/>
        </w:rPr>
        <w:t xml:space="preserve"> a </w:t>
      </w:r>
      <w:r>
        <w:rPr>
          <w:rFonts w:ascii="Times New Roman" w:hAnsi="Times New Roman" w:cs="Times New Roman"/>
          <w:color w:val="000000" w:themeColor="text1"/>
          <w:sz w:val="24"/>
        </w:rPr>
        <w:t xml:space="preserve">ZSO and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ZSO/SUSA-0.02 electrolytes at 10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10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after 50 cycles.</w:t>
      </w:r>
    </w:p>
    <w:p w14:paraId="66F6CDFE" w14:textId="4D9EF552" w:rsidR="000C2399" w:rsidRDefault="00753684" w:rsidP="00892AE3">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3E21150D" wp14:editId="2D1C5F0C">
            <wp:extent cx="4358244" cy="2706169"/>
            <wp:effectExtent l="0" t="0" r="4445" b="0"/>
            <wp:docPr id="1778242474" name="图片 1778242474" descr="屏幕截图 2026-02-08 14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42474" name="图片 1778242474" descr="屏幕截图 2026-02-08 141831"/>
                    <pic:cNvPicPr>
                      <a:picLocks noChangeAspect="1"/>
                    </pic:cNvPicPr>
                  </pic:nvPicPr>
                  <pic:blipFill>
                    <a:blip r:embed="rId46"/>
                    <a:stretch>
                      <a:fillRect/>
                    </a:stretch>
                  </pic:blipFill>
                  <pic:spPr>
                    <a:xfrm>
                      <a:off x="0" y="0"/>
                      <a:ext cx="4365249" cy="2710519"/>
                    </a:xfrm>
                    <a:prstGeom prst="rect">
                      <a:avLst/>
                    </a:prstGeom>
                  </pic:spPr>
                </pic:pic>
              </a:graphicData>
            </a:graphic>
          </wp:inline>
        </w:drawing>
      </w:r>
    </w:p>
    <w:p w14:paraId="25498608"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22</w:t>
      </w:r>
      <w:r>
        <w:rPr>
          <w:rFonts w:ascii="Times New Roman" w:hAnsi="Times New Roman" w:cs="Times New Roman"/>
          <w:color w:val="000000" w:themeColor="text1"/>
          <w:sz w:val="24"/>
        </w:rPr>
        <w:t xml:space="preserve"> Optical photographs and SEM pictures of Cu foils when deposited under 2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1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within </w:t>
      </w:r>
      <w:r>
        <w:rPr>
          <w:rFonts w:ascii="Times New Roman" w:hAnsi="Times New Roman" w:cs="Times New Roman"/>
          <w:b/>
          <w:bCs/>
          <w:color w:val="000000" w:themeColor="text1"/>
          <w:sz w:val="24"/>
        </w:rPr>
        <w:t xml:space="preserve">a </w:t>
      </w:r>
      <w:r>
        <w:rPr>
          <w:rFonts w:ascii="Times New Roman" w:hAnsi="Times New Roman" w:cs="Times New Roman"/>
          <w:color w:val="000000" w:themeColor="text1"/>
          <w:sz w:val="24"/>
        </w:rPr>
        <w:t xml:space="preserve">ZSO and </w:t>
      </w:r>
      <w:r>
        <w:rPr>
          <w:rFonts w:ascii="Times New Roman" w:hAnsi="Times New Roman" w:cs="Times New Roman"/>
          <w:b/>
          <w:bCs/>
          <w:color w:val="000000" w:themeColor="text1"/>
          <w:sz w:val="24"/>
        </w:rPr>
        <w:t xml:space="preserve">b </w:t>
      </w:r>
      <w:r>
        <w:rPr>
          <w:rFonts w:ascii="Times New Roman" w:hAnsi="Times New Roman" w:cs="Times New Roman"/>
          <w:color w:val="000000" w:themeColor="text1"/>
          <w:sz w:val="24"/>
        </w:rPr>
        <w:t>ZSO/SUSA-0.02 electrolytes.</w:t>
      </w:r>
    </w:p>
    <w:p w14:paraId="10A7A4F2"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rPr>
        <w:lastRenderedPageBreak/>
        <w:drawing>
          <wp:inline distT="0" distB="0" distL="114300" distR="114300" wp14:anchorId="00310B67" wp14:editId="748F2D6E">
            <wp:extent cx="4654550" cy="2943225"/>
            <wp:effectExtent l="0" t="0" r="3175" b="0"/>
            <wp:docPr id="1920739023" name="图片 1920739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39023" name="图片 1920739023"/>
                    <pic:cNvPicPr>
                      <a:picLocks noChangeAspect="1"/>
                    </pic:cNvPicPr>
                  </pic:nvPicPr>
                  <pic:blipFill>
                    <a:blip r:embed="rId47"/>
                    <a:stretch>
                      <a:fillRect/>
                    </a:stretch>
                  </pic:blipFill>
                  <pic:spPr>
                    <a:xfrm>
                      <a:off x="0" y="0"/>
                      <a:ext cx="4674057" cy="2955669"/>
                    </a:xfrm>
                    <a:prstGeom prst="rect">
                      <a:avLst/>
                    </a:prstGeom>
                    <a:noFill/>
                    <a:ln>
                      <a:noFill/>
                    </a:ln>
                  </pic:spPr>
                </pic:pic>
              </a:graphicData>
            </a:graphic>
          </wp:inline>
        </w:drawing>
      </w:r>
    </w:p>
    <w:p w14:paraId="0A6F88B2" w14:textId="0E98FD2D"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23</w:t>
      </w:r>
      <w:r>
        <w:rPr>
          <w:rFonts w:ascii="Times New Roman" w:hAnsi="Times New Roman" w:cs="Times New Roman"/>
          <w:color w:val="000000" w:themeColor="text1"/>
          <w:sz w:val="24"/>
        </w:rPr>
        <w:t xml:space="preserve"> SEM pictures of Cu foils when deposited under 1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at various current densities of 1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2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5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respectively within </w:t>
      </w:r>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ZSO,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ZSO/SUSA-0.02.</w:t>
      </w:r>
    </w:p>
    <w:p w14:paraId="1E355F2C" w14:textId="0090DAD4" w:rsidR="00892AE3" w:rsidRDefault="00892AE3" w:rsidP="00533892">
      <w:pPr>
        <w:spacing w:before="120" w:after="120"/>
        <w:rPr>
          <w:rFonts w:ascii="Times New Roman" w:hAnsi="Times New Roman" w:cs="Times New Roman"/>
          <w:color w:val="000000" w:themeColor="text1"/>
          <w:sz w:val="24"/>
        </w:rPr>
      </w:pPr>
    </w:p>
    <w:p w14:paraId="5027A133" w14:textId="77777777" w:rsidR="00892AE3" w:rsidRDefault="00892AE3" w:rsidP="00533892">
      <w:pPr>
        <w:spacing w:before="120" w:after="120"/>
        <w:rPr>
          <w:rFonts w:ascii="Times New Roman" w:hAnsi="Times New Roman" w:cs="Times New Roman" w:hint="eastAsia"/>
          <w:color w:val="000000" w:themeColor="text1"/>
          <w:sz w:val="24"/>
        </w:rPr>
      </w:pPr>
    </w:p>
    <w:p w14:paraId="73DBD1A7"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33CECBF3" wp14:editId="1F72FC3A">
            <wp:extent cx="4476115" cy="2872740"/>
            <wp:effectExtent l="0" t="0" r="635" b="381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48"/>
                    <a:stretch>
                      <a:fillRect/>
                    </a:stretch>
                  </pic:blipFill>
                  <pic:spPr>
                    <a:xfrm>
                      <a:off x="0" y="0"/>
                      <a:ext cx="4476115" cy="2872740"/>
                    </a:xfrm>
                    <a:prstGeom prst="rect">
                      <a:avLst/>
                    </a:prstGeom>
                    <a:noFill/>
                    <a:ln>
                      <a:noFill/>
                    </a:ln>
                  </pic:spPr>
                </pic:pic>
              </a:graphicData>
            </a:graphic>
          </wp:inline>
        </w:drawing>
      </w:r>
    </w:p>
    <w:p w14:paraId="5306EE53"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24</w:t>
      </w:r>
      <w:r>
        <w:rPr>
          <w:rFonts w:ascii="Times New Roman" w:hAnsi="Times New Roman" w:cs="Times New Roman"/>
          <w:color w:val="000000" w:themeColor="text1"/>
          <w:sz w:val="24"/>
        </w:rPr>
        <w:t xml:space="preserve"> SEM pictures of </w:t>
      </w:r>
      <w:proofErr w:type="spellStart"/>
      <w:r>
        <w:rPr>
          <w:rFonts w:ascii="Times New Roman" w:hAnsi="Times New Roman" w:cs="Times New Roman"/>
          <w:color w:val="000000" w:themeColor="text1"/>
          <w:sz w:val="24"/>
        </w:rPr>
        <w:t>Ti</w:t>
      </w:r>
      <w:proofErr w:type="spellEnd"/>
      <w:r>
        <w:rPr>
          <w:rFonts w:ascii="Times New Roman" w:hAnsi="Times New Roman" w:cs="Times New Roman"/>
          <w:color w:val="000000" w:themeColor="text1"/>
          <w:sz w:val="24"/>
        </w:rPr>
        <w:t xml:space="preserve"> foils when deposited under 1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at various current densities of 1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2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5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respectively within </w:t>
      </w:r>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ZSO,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ZSO/SUSA-0.02.</w:t>
      </w:r>
    </w:p>
    <w:p w14:paraId="4BF1CD54" w14:textId="77777777" w:rsidR="000C2399" w:rsidRDefault="00753684" w:rsidP="00533892">
      <w:pPr>
        <w:spacing w:before="120" w:after="120"/>
        <w:jc w:val="center"/>
        <w:rPr>
          <w:color w:val="000000" w:themeColor="text1"/>
        </w:rPr>
      </w:pPr>
      <w:r>
        <w:rPr>
          <w:noProof/>
          <w:color w:val="000000" w:themeColor="text1"/>
        </w:rPr>
        <w:lastRenderedPageBreak/>
        <w:drawing>
          <wp:inline distT="0" distB="0" distL="114300" distR="114300" wp14:anchorId="1942F379" wp14:editId="3883177D">
            <wp:extent cx="2256790" cy="3516630"/>
            <wp:effectExtent l="0" t="0" r="635" b="7620"/>
            <wp:docPr id="139007123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71233" name="图片 39"/>
                    <pic:cNvPicPr>
                      <a:picLocks noChangeAspect="1"/>
                    </pic:cNvPicPr>
                  </pic:nvPicPr>
                  <pic:blipFill>
                    <a:blip r:embed="rId49"/>
                    <a:stretch>
                      <a:fillRect/>
                    </a:stretch>
                  </pic:blipFill>
                  <pic:spPr>
                    <a:xfrm>
                      <a:off x="0" y="0"/>
                      <a:ext cx="2256790" cy="3516630"/>
                    </a:xfrm>
                    <a:prstGeom prst="rect">
                      <a:avLst/>
                    </a:prstGeom>
                    <a:noFill/>
                    <a:ln>
                      <a:noFill/>
                    </a:ln>
                  </pic:spPr>
                </pic:pic>
              </a:graphicData>
            </a:graphic>
          </wp:inline>
        </w:drawing>
      </w:r>
    </w:p>
    <w:p w14:paraId="52DA71D7" w14:textId="1B60057C" w:rsidR="000C2399" w:rsidRDefault="00753684" w:rsidP="00892AE3">
      <w:pPr>
        <w:spacing w:before="120" w:after="120"/>
        <w:rPr>
          <w:rFonts w:ascii="Times New Roman" w:hAnsi="Times New Roman" w:cs="Times New Roman"/>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25</w:t>
      </w:r>
      <w:r>
        <w:rPr>
          <w:rFonts w:ascii="Times New Roman" w:hAnsi="Times New Roman" w:cs="Times New Roman"/>
          <w:color w:val="000000" w:themeColor="text1"/>
          <w:sz w:val="24"/>
        </w:rPr>
        <w:t xml:space="preserve"> </w:t>
      </w:r>
      <w:r>
        <w:rPr>
          <w:rFonts w:ascii="Times New Roman" w:eastAsia="宋体" w:hAnsi="Times New Roman" w:cs="Times New Roman"/>
          <w:bCs/>
          <w:color w:val="000000" w:themeColor="text1"/>
          <w:sz w:val="24"/>
          <w:shd w:val="clear" w:color="auto" w:fill="FFFFFF"/>
        </w:rPr>
        <w:t xml:space="preserve">XRD patterns </w:t>
      </w:r>
      <w:r>
        <w:rPr>
          <w:rFonts w:ascii="Times New Roman" w:hAnsi="Times New Roman" w:cs="Times New Roman"/>
          <w:color w:val="000000" w:themeColor="text1"/>
          <w:sz w:val="24"/>
        </w:rPr>
        <w:t xml:space="preserve">of </w:t>
      </w:r>
      <w:proofErr w:type="spellStart"/>
      <w:r>
        <w:rPr>
          <w:rFonts w:ascii="Times New Roman" w:hAnsi="Times New Roman" w:cs="Times New Roman"/>
          <w:color w:val="000000" w:themeColor="text1"/>
          <w:sz w:val="24"/>
        </w:rPr>
        <w:t>Ti</w:t>
      </w:r>
      <w:proofErr w:type="spellEnd"/>
      <w:r>
        <w:rPr>
          <w:rFonts w:ascii="Times New Roman" w:hAnsi="Times New Roman" w:cs="Times New Roman"/>
          <w:color w:val="000000" w:themeColor="text1"/>
          <w:sz w:val="24"/>
        </w:rPr>
        <w:t xml:space="preserve"> foils when deposited under 1 </w:t>
      </w:r>
      <w:proofErr w:type="spellStart"/>
      <w:r>
        <w:rPr>
          <w:rFonts w:ascii="Times New Roman" w:hAnsi="Times New Roman" w:cs="Times New Roman"/>
          <w:color w:val="000000" w:themeColor="text1"/>
          <w:sz w:val="24"/>
        </w:rPr>
        <w:t>mAh</w:t>
      </w:r>
      <w:proofErr w:type="spellEnd"/>
      <w:r>
        <w:rPr>
          <w:rFonts w:ascii="Times New Roman" w:hAnsi="Times New Roman" w:cs="Times New Roman"/>
          <w:color w:val="000000" w:themeColor="text1"/>
          <w:sz w:val="24"/>
        </w:rPr>
        <w:t xml:space="preserve">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at various current densities of 1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2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and 5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respectively within ZSO electrolytes with/without SUSA adding.</w:t>
      </w:r>
    </w:p>
    <w:p w14:paraId="214E2FA8"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1828E889" wp14:editId="746D863D">
            <wp:extent cx="3564890" cy="1724660"/>
            <wp:effectExtent l="0" t="0" r="6985" b="8890"/>
            <wp:docPr id="4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3"/>
                    <pic:cNvPicPr>
                      <a:picLocks noChangeAspect="1"/>
                    </pic:cNvPicPr>
                  </pic:nvPicPr>
                  <pic:blipFill>
                    <a:blip r:embed="rId50"/>
                    <a:stretch>
                      <a:fillRect/>
                    </a:stretch>
                  </pic:blipFill>
                  <pic:spPr>
                    <a:xfrm>
                      <a:off x="0" y="0"/>
                      <a:ext cx="3564890" cy="1724660"/>
                    </a:xfrm>
                    <a:prstGeom prst="rect">
                      <a:avLst/>
                    </a:prstGeom>
                    <a:noFill/>
                    <a:ln>
                      <a:noFill/>
                    </a:ln>
                  </pic:spPr>
                </pic:pic>
              </a:graphicData>
            </a:graphic>
          </wp:inline>
        </w:drawing>
      </w:r>
    </w:p>
    <w:p w14:paraId="4F86FEBF"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b/>
          <w:bCs/>
          <w:color w:val="000000" w:themeColor="text1"/>
          <w:sz w:val="24"/>
        </w:rPr>
        <w:t>Fig. S2</w:t>
      </w:r>
      <w:r>
        <w:rPr>
          <w:rFonts w:ascii="Times New Roman" w:hAnsi="Times New Roman" w:cs="Times New Roman" w:hint="eastAsia"/>
          <w:b/>
          <w:bCs/>
          <w:color w:val="000000" w:themeColor="text1"/>
          <w:sz w:val="24"/>
        </w:rPr>
        <w:t>6</w:t>
      </w:r>
      <w:r>
        <w:rPr>
          <w:rFonts w:ascii="Times New Roman" w:hAnsi="Times New Roman" w:cs="Times New Roman"/>
          <w:color w:val="000000" w:themeColor="text1"/>
          <w:sz w:val="24"/>
        </w:rPr>
        <w:t xml:space="preserve"> The adsorption energy of H</w:t>
      </w:r>
      <w:r>
        <w:rPr>
          <w:rFonts w:ascii="Times New Roman" w:hAnsi="Times New Roman" w:cs="Times New Roman"/>
          <w:color w:val="000000" w:themeColor="text1"/>
          <w:sz w:val="24"/>
          <w:vertAlign w:val="subscript"/>
        </w:rPr>
        <w:t>2</w:t>
      </w:r>
      <w:r>
        <w:rPr>
          <w:rFonts w:ascii="Times New Roman" w:hAnsi="Times New Roman" w:cs="Times New Roman"/>
          <w:color w:val="000000" w:themeColor="text1"/>
          <w:sz w:val="24"/>
        </w:rPr>
        <w:t xml:space="preserve">O on </w:t>
      </w:r>
      <w:proofErr w:type="gramStart"/>
      <w:r>
        <w:rPr>
          <w:rFonts w:ascii="Times New Roman" w:hAnsi="Times New Roman" w:cs="Times New Roman"/>
          <w:color w:val="000000" w:themeColor="text1"/>
          <w:sz w:val="24"/>
        </w:rPr>
        <w:t xml:space="preserve">the </w:t>
      </w:r>
      <w:r>
        <w:rPr>
          <w:rFonts w:ascii="Times New Roman" w:hAnsi="Times New Roman" w:cs="Times New Roman"/>
          <w:b/>
          <w:bCs/>
          <w:color w:val="000000" w:themeColor="text1"/>
          <w:sz w:val="24"/>
        </w:rPr>
        <w:t>a</w:t>
      </w:r>
      <w:proofErr w:type="gramEnd"/>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Zn (101) facet and</w:t>
      </w:r>
      <w:r>
        <w:rPr>
          <w:rFonts w:ascii="Times New Roman" w:hAnsi="Times New Roman" w:cs="Times New Roman"/>
          <w:b/>
          <w:bCs/>
          <w:color w:val="000000" w:themeColor="text1"/>
          <w:sz w:val="24"/>
        </w:rPr>
        <w:t xml:space="preserve"> b</w:t>
      </w:r>
      <w:r>
        <w:rPr>
          <w:rFonts w:ascii="Times New Roman" w:hAnsi="Times New Roman" w:cs="Times New Roman"/>
          <w:color w:val="000000" w:themeColor="text1"/>
          <w:sz w:val="24"/>
        </w:rPr>
        <w:t xml:space="preserve"> Zn (002) facet</w:t>
      </w:r>
      <w:r>
        <w:rPr>
          <w:rFonts w:ascii="Times New Roman" w:hAnsi="Times New Roman" w:cs="Times New Roman" w:hint="eastAsia"/>
          <w:color w:val="000000" w:themeColor="text1"/>
          <w:sz w:val="24"/>
        </w:rPr>
        <w:t>.</w:t>
      </w:r>
    </w:p>
    <w:p w14:paraId="3DD0C38B" w14:textId="77777777" w:rsidR="000C2399" w:rsidRDefault="00753684" w:rsidP="00533892">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114300" distR="114300" wp14:anchorId="28C3D463" wp14:editId="7BB7A81D">
            <wp:extent cx="2292985" cy="1922780"/>
            <wp:effectExtent l="0" t="0" r="2540" b="1270"/>
            <wp:docPr id="28" name="图片 28" descr="屏幕截图 2026-02-08 14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屏幕截图 2026-02-08 141806"/>
                    <pic:cNvPicPr>
                      <a:picLocks noChangeAspect="1"/>
                    </pic:cNvPicPr>
                  </pic:nvPicPr>
                  <pic:blipFill>
                    <a:blip r:embed="rId51"/>
                    <a:stretch>
                      <a:fillRect/>
                    </a:stretch>
                  </pic:blipFill>
                  <pic:spPr>
                    <a:xfrm>
                      <a:off x="0" y="0"/>
                      <a:ext cx="2292985" cy="1922780"/>
                    </a:xfrm>
                    <a:prstGeom prst="rect">
                      <a:avLst/>
                    </a:prstGeom>
                  </pic:spPr>
                </pic:pic>
              </a:graphicData>
            </a:graphic>
          </wp:inline>
        </w:drawing>
      </w:r>
    </w:p>
    <w:p w14:paraId="0CEA8B8F"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27</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The adsorption energy of ZnSO</w:t>
      </w:r>
      <w:r>
        <w:rPr>
          <w:rFonts w:ascii="Times New Roman" w:hAnsi="Times New Roman" w:cs="Times New Roman"/>
          <w:color w:val="000000" w:themeColor="text1"/>
          <w:sz w:val="24"/>
          <w:vertAlign w:val="subscript"/>
        </w:rPr>
        <w:t>4</w:t>
      </w:r>
      <w:r>
        <w:rPr>
          <w:rFonts w:ascii="Times New Roman" w:hAnsi="Times New Roman" w:cs="Times New Roman"/>
          <w:color w:val="000000" w:themeColor="text1"/>
          <w:sz w:val="24"/>
        </w:rPr>
        <w:t xml:space="preserve"> on the Zn</w:t>
      </w:r>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(101) facet.</w:t>
      </w:r>
    </w:p>
    <w:p w14:paraId="1CF89B2F" w14:textId="77777777" w:rsidR="000C2399" w:rsidRDefault="00753684" w:rsidP="00533892">
      <w:pPr>
        <w:spacing w:before="120" w:after="120"/>
        <w:jc w:val="center"/>
        <w:rPr>
          <w:color w:val="000000" w:themeColor="text1"/>
        </w:rPr>
      </w:pPr>
      <w:r>
        <w:rPr>
          <w:rFonts w:ascii="Times New Roman" w:hAnsi="Times New Roman" w:cs="Times New Roman"/>
          <w:color w:val="000000" w:themeColor="text1"/>
          <w:sz w:val="18"/>
          <w:szCs w:val="18"/>
        </w:rPr>
        <w:br w:type="page"/>
      </w:r>
      <w:r>
        <w:rPr>
          <w:noProof/>
          <w:color w:val="000000" w:themeColor="text1"/>
        </w:rPr>
        <w:lastRenderedPageBreak/>
        <w:drawing>
          <wp:inline distT="0" distB="0" distL="114300" distR="114300" wp14:anchorId="4FB94BAF" wp14:editId="129948D3">
            <wp:extent cx="2820670" cy="1670050"/>
            <wp:effectExtent l="0" t="0" r="8255" b="6350"/>
            <wp:docPr id="4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4"/>
                    <pic:cNvPicPr>
                      <a:picLocks noChangeAspect="1"/>
                    </pic:cNvPicPr>
                  </pic:nvPicPr>
                  <pic:blipFill>
                    <a:blip r:embed="rId52"/>
                    <a:stretch>
                      <a:fillRect/>
                    </a:stretch>
                  </pic:blipFill>
                  <pic:spPr>
                    <a:xfrm>
                      <a:off x="0" y="0"/>
                      <a:ext cx="2820670" cy="1670050"/>
                    </a:xfrm>
                    <a:prstGeom prst="rect">
                      <a:avLst/>
                    </a:prstGeom>
                    <a:noFill/>
                    <a:ln>
                      <a:noFill/>
                    </a:ln>
                  </pic:spPr>
                </pic:pic>
              </a:graphicData>
            </a:graphic>
          </wp:inline>
        </w:drawing>
      </w:r>
    </w:p>
    <w:p w14:paraId="08661053"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b/>
          <w:bCs/>
          <w:color w:val="000000" w:themeColor="text1"/>
          <w:sz w:val="24"/>
        </w:rPr>
        <w:t xml:space="preserve"> Fig. S2</w:t>
      </w:r>
      <w:r>
        <w:rPr>
          <w:rFonts w:ascii="Times New Roman" w:hAnsi="Times New Roman" w:cs="Times New Roman" w:hint="eastAsia"/>
          <w:b/>
          <w:bCs/>
          <w:color w:val="000000" w:themeColor="text1"/>
          <w:sz w:val="24"/>
        </w:rPr>
        <w:t>8</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2D of differential charge density plots of SUSA on Zn (002) facet.</w:t>
      </w:r>
    </w:p>
    <w:p w14:paraId="1356978A" w14:textId="77777777" w:rsidR="000C2399" w:rsidRDefault="00753684" w:rsidP="00533892">
      <w:pPr>
        <w:spacing w:before="120" w:after="120"/>
        <w:jc w:val="center"/>
        <w:rPr>
          <w:rFonts w:ascii="Times New Roman" w:hAnsi="Times New Roman" w:cs="Times New Roman"/>
          <w:color w:val="000000" w:themeColor="text1"/>
          <w:sz w:val="18"/>
          <w:szCs w:val="18"/>
        </w:rPr>
      </w:pPr>
      <w:r>
        <w:rPr>
          <w:noProof/>
          <w:color w:val="000000" w:themeColor="text1"/>
        </w:rPr>
        <w:drawing>
          <wp:inline distT="0" distB="0" distL="114300" distR="114300" wp14:anchorId="1D8B8EBC" wp14:editId="0DEF9219">
            <wp:extent cx="3945890" cy="2967990"/>
            <wp:effectExtent l="0" t="0" r="6985" b="3810"/>
            <wp:docPr id="46"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5"/>
                    <pic:cNvPicPr>
                      <a:picLocks noChangeAspect="1"/>
                    </pic:cNvPicPr>
                  </pic:nvPicPr>
                  <pic:blipFill>
                    <a:blip r:embed="rId53"/>
                    <a:stretch>
                      <a:fillRect/>
                    </a:stretch>
                  </pic:blipFill>
                  <pic:spPr>
                    <a:xfrm>
                      <a:off x="0" y="0"/>
                      <a:ext cx="3945890" cy="2967990"/>
                    </a:xfrm>
                    <a:prstGeom prst="rect">
                      <a:avLst/>
                    </a:prstGeom>
                    <a:noFill/>
                    <a:ln>
                      <a:noFill/>
                    </a:ln>
                  </pic:spPr>
                </pic:pic>
              </a:graphicData>
            </a:graphic>
          </wp:inline>
        </w:drawing>
      </w:r>
    </w:p>
    <w:p w14:paraId="7C003EDA"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29</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 xml:space="preserve">The </w:t>
      </w:r>
      <w:r>
        <w:rPr>
          <w:rFonts w:ascii="Times New Roman" w:hAnsi="Times New Roman" w:cs="Times New Roman"/>
          <w:b/>
          <w:bCs/>
          <w:color w:val="000000" w:themeColor="text1"/>
          <w:sz w:val="24"/>
        </w:rPr>
        <w:t xml:space="preserve">a </w:t>
      </w:r>
      <w:r>
        <w:rPr>
          <w:rFonts w:ascii="Times New Roman" w:hAnsi="Times New Roman" w:cs="Times New Roman"/>
          <w:color w:val="000000" w:themeColor="text1"/>
          <w:sz w:val="24"/>
        </w:rPr>
        <w:t xml:space="preserve">1D and </w:t>
      </w:r>
      <w:r>
        <w:rPr>
          <w:rFonts w:ascii="Times New Roman" w:hAnsi="Times New Roman" w:cs="Times New Roman"/>
          <w:b/>
          <w:bCs/>
          <w:color w:val="000000" w:themeColor="text1"/>
          <w:sz w:val="24"/>
        </w:rPr>
        <w:t xml:space="preserve">b </w:t>
      </w:r>
      <w:r>
        <w:rPr>
          <w:rFonts w:ascii="Times New Roman" w:hAnsi="Times New Roman" w:cs="Times New Roman"/>
          <w:color w:val="000000" w:themeColor="text1"/>
          <w:sz w:val="24"/>
        </w:rPr>
        <w:t>2D of differential charge density plots of SUSA on Zn (101) facet. The differential charge density plots of SUSA on Zn (101) facet from</w:t>
      </w:r>
      <w:r>
        <w:rPr>
          <w:rFonts w:ascii="Times New Roman" w:hAnsi="Times New Roman" w:cs="Times New Roman"/>
          <w:b/>
          <w:bCs/>
          <w:color w:val="000000" w:themeColor="text1"/>
          <w:sz w:val="24"/>
        </w:rPr>
        <w:t xml:space="preserve"> c</w:t>
      </w:r>
      <w:r>
        <w:rPr>
          <w:rFonts w:ascii="Times New Roman" w:hAnsi="Times New Roman" w:cs="Times New Roman"/>
          <w:color w:val="000000" w:themeColor="text1"/>
          <w:sz w:val="24"/>
        </w:rPr>
        <w:t xml:space="preserve"> front aspect and </w:t>
      </w:r>
      <w:r>
        <w:rPr>
          <w:rFonts w:ascii="Times New Roman" w:hAnsi="Times New Roman" w:cs="Times New Roman"/>
          <w:b/>
          <w:bCs/>
          <w:color w:val="000000" w:themeColor="text1"/>
          <w:sz w:val="24"/>
        </w:rPr>
        <w:t>d</w:t>
      </w:r>
      <w:r>
        <w:rPr>
          <w:rFonts w:ascii="Times New Roman" w:hAnsi="Times New Roman" w:cs="Times New Roman"/>
          <w:color w:val="000000" w:themeColor="text1"/>
          <w:sz w:val="24"/>
        </w:rPr>
        <w:t xml:space="preserve"> top aspect.</w:t>
      </w:r>
    </w:p>
    <w:p w14:paraId="30783A77"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3AC48DB8" wp14:editId="217D8E02">
            <wp:extent cx="3991610" cy="2137410"/>
            <wp:effectExtent l="0" t="0" r="8890" b="5715"/>
            <wp:docPr id="2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6"/>
                    <pic:cNvPicPr>
                      <a:picLocks noChangeAspect="1"/>
                    </pic:cNvPicPr>
                  </pic:nvPicPr>
                  <pic:blipFill>
                    <a:blip r:embed="rId54"/>
                    <a:stretch>
                      <a:fillRect/>
                    </a:stretch>
                  </pic:blipFill>
                  <pic:spPr>
                    <a:xfrm>
                      <a:off x="0" y="0"/>
                      <a:ext cx="3991610" cy="2137410"/>
                    </a:xfrm>
                    <a:prstGeom prst="rect">
                      <a:avLst/>
                    </a:prstGeom>
                    <a:noFill/>
                    <a:ln>
                      <a:noFill/>
                    </a:ln>
                  </pic:spPr>
                </pic:pic>
              </a:graphicData>
            </a:graphic>
          </wp:inline>
        </w:drawing>
      </w:r>
    </w:p>
    <w:p w14:paraId="0F67B815" w14:textId="77777777" w:rsidR="000C2399" w:rsidRDefault="00753684" w:rsidP="00533892">
      <w:pPr>
        <w:spacing w:before="120" w:after="120"/>
        <w:rPr>
          <w:rFonts w:ascii="Times New Roman" w:hAnsi="Times New Roman" w:cs="Times New Roman"/>
          <w:color w:val="000000" w:themeColor="text1"/>
          <w:sz w:val="24"/>
        </w:rPr>
      </w:pPr>
      <w:r>
        <w:rPr>
          <w:rFonts w:ascii="Times New Roman" w:hAnsi="Times New Roman" w:cs="Times New Roman"/>
          <w:b/>
          <w:bCs/>
          <w:color w:val="000000" w:themeColor="text1"/>
          <w:sz w:val="24"/>
        </w:rPr>
        <w:t>Fig. S</w:t>
      </w:r>
      <w:r>
        <w:rPr>
          <w:rFonts w:ascii="Times New Roman" w:hAnsi="Times New Roman" w:cs="Times New Roman" w:hint="eastAsia"/>
          <w:b/>
          <w:bCs/>
          <w:color w:val="000000" w:themeColor="text1"/>
          <w:sz w:val="24"/>
        </w:rPr>
        <w:t>30</w:t>
      </w:r>
      <w:r>
        <w:rPr>
          <w:rFonts w:ascii="Times New Roman" w:hAnsi="Times New Roman" w:cs="Times New Roman"/>
          <w:color w:val="000000" w:themeColor="text1"/>
          <w:sz w:val="24"/>
        </w:rPr>
        <w:t xml:space="preserve"> Nyquist plots recorded for Zn||Zn symmetric cells with </w:t>
      </w:r>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ZSO and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ZSO</w:t>
      </w:r>
      <w:r>
        <w:rPr>
          <w:rFonts w:ascii="Times New Roman" w:hAnsi="Times New Roman" w:cs="Times New Roman" w:hint="eastAsia"/>
          <w:color w:val="000000" w:themeColor="text1"/>
          <w:sz w:val="24"/>
        </w:rPr>
        <w:t>/SUSA-0.02</w:t>
      </w:r>
      <w:r>
        <w:rPr>
          <w:rFonts w:ascii="Times New Roman" w:hAnsi="Times New Roman" w:cs="Times New Roman"/>
          <w:color w:val="000000" w:themeColor="text1"/>
          <w:sz w:val="24"/>
        </w:rPr>
        <w:t xml:space="preserve"> electrolytes at different temperatures.</w:t>
      </w:r>
    </w:p>
    <w:p w14:paraId="201A789F" w14:textId="77777777" w:rsidR="000C2399" w:rsidRDefault="00753684" w:rsidP="00533892">
      <w:pPr>
        <w:snapToGrid w:val="0"/>
        <w:spacing w:before="120" w:after="120"/>
        <w:ind w:rightChars="700" w:right="1470"/>
        <w:jc w:val="left"/>
        <w:rPr>
          <w:rFonts w:ascii="Times New Roman" w:hAnsi="Times New Roman" w:cs="Times New Roman"/>
          <w:color w:val="000000" w:themeColor="text1"/>
          <w:sz w:val="18"/>
          <w:szCs w:val="18"/>
        </w:rPr>
      </w:pPr>
      <w:r>
        <w:rPr>
          <w:noProof/>
          <w:color w:val="000000" w:themeColor="text1"/>
        </w:rPr>
        <w:lastRenderedPageBreak/>
        <w:drawing>
          <wp:inline distT="0" distB="0" distL="114300" distR="114300" wp14:anchorId="68BDA51C" wp14:editId="4E7420D3">
            <wp:extent cx="5546725" cy="2705735"/>
            <wp:effectExtent l="0" t="0" r="6350" b="8890"/>
            <wp:docPr id="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pic:cNvPicPr>
                      <a:picLocks noChangeAspect="1"/>
                    </pic:cNvPicPr>
                  </pic:nvPicPr>
                  <pic:blipFill>
                    <a:blip r:embed="rId55"/>
                    <a:stretch>
                      <a:fillRect/>
                    </a:stretch>
                  </pic:blipFill>
                  <pic:spPr>
                    <a:xfrm>
                      <a:off x="0" y="0"/>
                      <a:ext cx="5546725" cy="2705735"/>
                    </a:xfrm>
                    <a:prstGeom prst="rect">
                      <a:avLst/>
                    </a:prstGeom>
                    <a:noFill/>
                    <a:ln>
                      <a:noFill/>
                    </a:ln>
                  </pic:spPr>
                </pic:pic>
              </a:graphicData>
            </a:graphic>
          </wp:inline>
        </w:drawing>
      </w:r>
    </w:p>
    <w:p w14:paraId="3292381D" w14:textId="24748E50"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31</w:t>
      </w:r>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 xml:space="preserve">The galvanostatic nucleation overpotential (NOP) of Zn||Cu half-cells in different electrolytes under </w:t>
      </w:r>
      <w:proofErr w:type="spellStart"/>
      <w:proofErr w:type="gramStart"/>
      <w:r>
        <w:rPr>
          <w:rFonts w:ascii="Times New Roman" w:hAnsi="Times New Roman" w:cs="Times New Roman"/>
          <w:b/>
          <w:bCs/>
          <w:color w:val="000000" w:themeColor="text1"/>
          <w:sz w:val="24"/>
        </w:rPr>
        <w:t>a,e</w:t>
      </w:r>
      <w:proofErr w:type="spellEnd"/>
      <w:proofErr w:type="gramEnd"/>
      <w:r>
        <w:rPr>
          <w:rFonts w:ascii="Times New Roman" w:hAnsi="Times New Roman" w:cs="Times New Roman"/>
          <w:color w:val="000000" w:themeColor="text1"/>
          <w:sz w:val="24"/>
        </w:rPr>
        <w:t xml:space="preserve"> 1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w:t>
      </w:r>
      <w:proofErr w:type="spellStart"/>
      <w:r>
        <w:rPr>
          <w:rFonts w:ascii="Times New Roman" w:hAnsi="Times New Roman" w:cs="Times New Roman"/>
          <w:b/>
          <w:bCs/>
          <w:color w:val="000000" w:themeColor="text1"/>
          <w:sz w:val="24"/>
        </w:rPr>
        <w:t>b,f</w:t>
      </w:r>
      <w:proofErr w:type="spellEnd"/>
      <w:r>
        <w:rPr>
          <w:rFonts w:ascii="Times New Roman" w:hAnsi="Times New Roman" w:cs="Times New Roman"/>
          <w:b/>
          <w:bCs/>
          <w:color w:val="000000" w:themeColor="text1"/>
          <w:sz w:val="24"/>
        </w:rPr>
        <w:t xml:space="preserve"> </w:t>
      </w:r>
      <w:r>
        <w:rPr>
          <w:rFonts w:ascii="Times New Roman" w:hAnsi="Times New Roman" w:cs="Times New Roman"/>
          <w:color w:val="000000" w:themeColor="text1"/>
          <w:sz w:val="24"/>
        </w:rPr>
        <w:t>3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w:t>
      </w:r>
      <w:proofErr w:type="spellStart"/>
      <w:r>
        <w:rPr>
          <w:rFonts w:ascii="Times New Roman" w:hAnsi="Times New Roman" w:cs="Times New Roman"/>
          <w:b/>
          <w:bCs/>
          <w:color w:val="000000" w:themeColor="text1"/>
          <w:sz w:val="24"/>
        </w:rPr>
        <w:t>c,g</w:t>
      </w:r>
      <w:proofErr w:type="spellEnd"/>
      <w:r>
        <w:rPr>
          <w:rFonts w:ascii="Times New Roman" w:hAnsi="Times New Roman" w:cs="Times New Roman" w:hint="eastAsia"/>
          <w:color w:val="000000" w:themeColor="text1"/>
          <w:sz w:val="24"/>
        </w:rPr>
        <w:t xml:space="preserve"> </w:t>
      </w:r>
      <w:r>
        <w:rPr>
          <w:rFonts w:ascii="Times New Roman" w:hAnsi="Times New Roman" w:cs="Times New Roman"/>
          <w:color w:val="000000" w:themeColor="text1"/>
          <w:sz w:val="24"/>
        </w:rPr>
        <w:t>5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xml:space="preserve">, </w:t>
      </w:r>
      <w:proofErr w:type="spellStart"/>
      <w:r>
        <w:rPr>
          <w:rFonts w:ascii="Times New Roman" w:hAnsi="Times New Roman" w:cs="Times New Roman"/>
          <w:b/>
          <w:bCs/>
          <w:color w:val="000000" w:themeColor="text1"/>
          <w:sz w:val="24"/>
        </w:rPr>
        <w:t>d,h</w:t>
      </w:r>
      <w:proofErr w:type="spellEnd"/>
      <w:r>
        <w:rPr>
          <w:rFonts w:ascii="Times New Roman" w:hAnsi="Times New Roman" w:cs="Times New Roman"/>
          <w:color w:val="000000" w:themeColor="text1"/>
          <w:sz w:val="24"/>
        </w:rPr>
        <w:t xml:space="preserve"> 10 mA cm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w:t>
      </w:r>
    </w:p>
    <w:p w14:paraId="2E7F8DE6" w14:textId="26845F91" w:rsidR="000C2399" w:rsidRDefault="00892AE3" w:rsidP="00892AE3">
      <w:pPr>
        <w:spacing w:before="120" w:after="120"/>
        <w:jc w:val="center"/>
        <w:rPr>
          <w:rFonts w:ascii="Times New Roman" w:hAnsi="Times New Roman" w:cs="Times New Roman"/>
          <w:color w:val="000000" w:themeColor="text1"/>
          <w:sz w:val="18"/>
          <w:szCs w:val="18"/>
        </w:rPr>
      </w:pPr>
      <w:r>
        <w:rPr>
          <w:rFonts w:ascii="Times New Roman" w:hAnsi="Times New Roman" w:cs="Times New Roman"/>
          <w:noProof/>
          <w:color w:val="000000" w:themeColor="text1"/>
          <w:sz w:val="18"/>
          <w:szCs w:val="18"/>
        </w:rPr>
        <w:drawing>
          <wp:inline distT="0" distB="0" distL="0" distR="0" wp14:anchorId="581C2FF1" wp14:editId="28A08931">
            <wp:extent cx="5272405" cy="1628140"/>
            <wp:effectExtent l="0" t="0" r="4445" b="0"/>
            <wp:docPr id="24" name="图片 24" descr="屏幕截图 2026-02-08 14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屏幕截图 2026-02-08 141843"/>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272405" cy="1628140"/>
                    </a:xfrm>
                    <a:prstGeom prst="rect">
                      <a:avLst/>
                    </a:prstGeom>
                  </pic:spPr>
                </pic:pic>
              </a:graphicData>
            </a:graphic>
          </wp:inline>
        </w:drawing>
      </w:r>
    </w:p>
    <w:p w14:paraId="6E737077" w14:textId="77777777" w:rsidR="000C2399" w:rsidRDefault="00753684" w:rsidP="00533892">
      <w:pPr>
        <w:spacing w:before="120" w:after="120"/>
        <w:rPr>
          <w:rFonts w:ascii="Times New Roman" w:hAnsi="Times New Roman" w:cs="Times New Roman"/>
          <w:color w:val="000000" w:themeColor="text1"/>
          <w:sz w:val="18"/>
          <w:szCs w:val="18"/>
        </w:rPr>
      </w:pPr>
      <w:r>
        <w:rPr>
          <w:rFonts w:ascii="Times New Roman" w:hAnsi="Times New Roman" w:cs="Times New Roman" w:hint="eastAsia"/>
          <w:b/>
          <w:bCs/>
          <w:color w:val="000000" w:themeColor="text1"/>
          <w:sz w:val="24"/>
        </w:rPr>
        <w:t>Fig.</w:t>
      </w:r>
      <w:r>
        <w:rPr>
          <w:rFonts w:ascii="Times New Roman" w:hAnsi="Times New Roman" w:cs="Times New Roman"/>
          <w:b/>
          <w:bCs/>
          <w:color w:val="000000" w:themeColor="text1"/>
          <w:sz w:val="24"/>
        </w:rPr>
        <w:t xml:space="preserve"> S</w:t>
      </w:r>
      <w:r>
        <w:rPr>
          <w:rFonts w:ascii="Times New Roman" w:hAnsi="Times New Roman" w:cs="Times New Roman" w:hint="eastAsia"/>
          <w:b/>
          <w:bCs/>
          <w:color w:val="000000" w:themeColor="text1"/>
          <w:sz w:val="24"/>
        </w:rPr>
        <w:t>32</w:t>
      </w:r>
      <w:r>
        <w:rPr>
          <w:rFonts w:ascii="Times New Roman" w:hAnsi="Times New Roman" w:cs="Times New Roman"/>
          <w:b/>
          <w:bCs/>
          <w:color w:val="000000" w:themeColor="text1"/>
          <w:sz w:val="24"/>
        </w:rPr>
        <w:t xml:space="preserve"> </w:t>
      </w:r>
      <w:proofErr w:type="gramStart"/>
      <w:r>
        <w:rPr>
          <w:rFonts w:ascii="Times New Roman" w:hAnsi="Times New Roman" w:cs="Times New Roman"/>
          <w:b/>
          <w:bCs/>
          <w:color w:val="000000" w:themeColor="text1"/>
          <w:sz w:val="24"/>
        </w:rPr>
        <w:t>a</w:t>
      </w:r>
      <w:r>
        <w:rPr>
          <w:rFonts w:ascii="Times New Roman" w:hAnsi="Times New Roman" w:cs="Times New Roman"/>
          <w:color w:val="000000" w:themeColor="text1"/>
          <w:sz w:val="24"/>
        </w:rPr>
        <w:t xml:space="preserve"> the</w:t>
      </w:r>
      <w:proofErr w:type="gramEnd"/>
      <w:r>
        <w:rPr>
          <w:rFonts w:ascii="Times New Roman" w:hAnsi="Times New Roman" w:cs="Times New Roman"/>
          <w:color w:val="000000" w:themeColor="text1"/>
          <w:sz w:val="24"/>
        </w:rPr>
        <w:t xml:space="preserve"> coin full-cell cycling performance within ZSO/SUSA-0.02 electrolyte at 0.5 A g</w:t>
      </w:r>
      <w:r>
        <w:rPr>
          <w:rFonts w:ascii="Times New Roman" w:hAnsi="Times New Roman" w:cs="Times New Roman"/>
          <w:color w:val="000000" w:themeColor="text1"/>
          <w:sz w:val="24"/>
          <w:vertAlign w:val="superscript"/>
        </w:rPr>
        <w:t>-1</w:t>
      </w:r>
      <w:r>
        <w:rPr>
          <w:rFonts w:ascii="Times New Roman" w:hAnsi="Times New Roman" w:cs="Times New Roman"/>
          <w:color w:val="000000" w:themeColor="text1"/>
          <w:sz w:val="24"/>
        </w:rPr>
        <w:t xml:space="preserve"> with a low N/P ratio of 1.99 and </w:t>
      </w:r>
      <w:r>
        <w:rPr>
          <w:rFonts w:ascii="Times New Roman" w:hAnsi="Times New Roman" w:cs="Times New Roman"/>
          <w:b/>
          <w:bCs/>
          <w:color w:val="000000" w:themeColor="text1"/>
          <w:sz w:val="24"/>
        </w:rPr>
        <w:t xml:space="preserve">b </w:t>
      </w:r>
      <w:r>
        <w:rPr>
          <w:rFonts w:ascii="Times New Roman" w:hAnsi="Times New Roman" w:cs="Times New Roman"/>
          <w:color w:val="000000" w:themeColor="text1"/>
          <w:sz w:val="24"/>
        </w:rPr>
        <w:t>corresponding voltage-capacity curves.</w:t>
      </w:r>
    </w:p>
    <w:p w14:paraId="5DAE831C" w14:textId="77777777" w:rsidR="000C2399" w:rsidRDefault="00753684" w:rsidP="00533892">
      <w:pPr>
        <w:spacing w:before="120" w:after="120"/>
        <w:jc w:val="center"/>
        <w:rPr>
          <w:color w:val="000000" w:themeColor="text1"/>
        </w:rPr>
      </w:pPr>
      <w:r>
        <w:rPr>
          <w:noProof/>
          <w:color w:val="000000" w:themeColor="text1"/>
        </w:rPr>
        <w:drawing>
          <wp:inline distT="0" distB="0" distL="114300" distR="114300" wp14:anchorId="52124595" wp14:editId="22043587">
            <wp:extent cx="5168900" cy="2193925"/>
            <wp:effectExtent l="0" t="0" r="3175" b="6350"/>
            <wp:docPr id="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pic:cNvPicPr>
                      <a:picLocks noChangeAspect="1"/>
                    </pic:cNvPicPr>
                  </pic:nvPicPr>
                  <pic:blipFill>
                    <a:blip r:embed="rId57"/>
                    <a:stretch>
                      <a:fillRect/>
                    </a:stretch>
                  </pic:blipFill>
                  <pic:spPr>
                    <a:xfrm>
                      <a:off x="0" y="0"/>
                      <a:ext cx="5168900" cy="2193925"/>
                    </a:xfrm>
                    <a:prstGeom prst="rect">
                      <a:avLst/>
                    </a:prstGeom>
                    <a:noFill/>
                    <a:ln>
                      <a:noFill/>
                    </a:ln>
                  </pic:spPr>
                </pic:pic>
              </a:graphicData>
            </a:graphic>
          </wp:inline>
        </w:drawing>
      </w:r>
    </w:p>
    <w:p w14:paraId="0AE8A902" w14:textId="77777777" w:rsidR="000C2399" w:rsidRDefault="00753684" w:rsidP="00533892">
      <w:pPr>
        <w:spacing w:before="120" w:after="120"/>
        <w:rPr>
          <w:rFonts w:ascii="Times New Roman" w:hAnsi="Times New Roman" w:cs="Times New Roman"/>
          <w:sz w:val="24"/>
        </w:rPr>
      </w:pPr>
      <w:r>
        <w:rPr>
          <w:rFonts w:ascii="Times New Roman" w:hAnsi="Times New Roman" w:cs="Times New Roman"/>
          <w:b/>
          <w:bCs/>
          <w:color w:val="000000" w:themeColor="text1"/>
          <w:sz w:val="24"/>
        </w:rPr>
        <w:t>Fig. S3</w:t>
      </w:r>
      <w:r>
        <w:rPr>
          <w:rFonts w:ascii="Times New Roman" w:hAnsi="Times New Roman" w:cs="Times New Roman" w:hint="eastAsia"/>
          <w:b/>
          <w:bCs/>
          <w:color w:val="000000" w:themeColor="text1"/>
          <w:sz w:val="24"/>
        </w:rPr>
        <w:t>3</w:t>
      </w:r>
      <w:r>
        <w:rPr>
          <w:rFonts w:ascii="Times New Roman" w:hAnsi="Times New Roman" w:cs="Times New Roman"/>
          <w:b/>
          <w:bCs/>
          <w:color w:val="000000" w:themeColor="text1"/>
          <w:sz w:val="24"/>
        </w:rPr>
        <w:t xml:space="preserve"> </w:t>
      </w:r>
      <w:proofErr w:type="gramStart"/>
      <w:r>
        <w:rPr>
          <w:rFonts w:ascii="Times New Roman" w:hAnsi="Times New Roman" w:cs="Times New Roman"/>
          <w:b/>
          <w:bCs/>
          <w:color w:val="000000" w:themeColor="text1"/>
          <w:sz w:val="24"/>
        </w:rPr>
        <w:t>a</w:t>
      </w:r>
      <w:proofErr w:type="gramEnd"/>
      <w:r>
        <w:rPr>
          <w:rFonts w:ascii="Times New Roman" w:hAnsi="Times New Roman" w:cs="Times New Roman"/>
          <w:b/>
          <w:bCs/>
          <w:color w:val="000000" w:themeColor="text1"/>
          <w:sz w:val="24"/>
        </w:rPr>
        <w:t xml:space="preserve"> </w:t>
      </w:r>
      <w:r>
        <w:rPr>
          <w:rFonts w:ascii="Times New Roman" w:eastAsia="宋体" w:hAnsi="Times New Roman" w:cs="Times New Roman" w:hint="eastAsia"/>
          <w:bCs/>
          <w:color w:val="000000" w:themeColor="text1"/>
          <w:sz w:val="24"/>
          <w:shd w:val="clear" w:color="auto" w:fill="FFFFFF"/>
        </w:rPr>
        <w:t>Electrolyte appearance post-50-cycling: (Left) yellowish ZSO electrolyte indicates I</w:t>
      </w:r>
      <w:r>
        <w:rPr>
          <w:rFonts w:ascii="Times New Roman" w:eastAsia="宋体" w:hAnsi="Times New Roman" w:cs="Times New Roman"/>
          <w:bCs/>
          <w:color w:val="000000" w:themeColor="text1"/>
          <w:sz w:val="24"/>
          <w:shd w:val="clear" w:color="auto" w:fill="FFFFFF"/>
          <w:vertAlign w:val="subscript"/>
        </w:rPr>
        <w:t>2</w:t>
      </w:r>
      <w:r>
        <w:rPr>
          <w:rFonts w:ascii="Times New Roman" w:eastAsia="宋体" w:hAnsi="Times New Roman" w:cs="Times New Roman" w:hint="eastAsia"/>
          <w:bCs/>
          <w:color w:val="000000" w:themeColor="text1"/>
          <w:sz w:val="24"/>
          <w:shd w:val="clear" w:color="auto" w:fill="FFFFFF"/>
        </w:rPr>
        <w:t xml:space="preserve"> dissolution. (Right) clear ZSO/SUSA-0.02 electrolyte</w:t>
      </w:r>
      <w:r>
        <w:rPr>
          <w:rFonts w:ascii="Times New Roman" w:eastAsia="等线" w:hAnsi="Times New Roman" w:cs="Times New Roman"/>
          <w:color w:val="000000" w:themeColor="text1"/>
          <w:kern w:val="24"/>
          <w:sz w:val="24"/>
          <w:shd w:val="clear" w:color="auto" w:fill="FFFFFF"/>
        </w:rPr>
        <w:t xml:space="preserve">. </w:t>
      </w:r>
      <w:r>
        <w:rPr>
          <w:rFonts w:ascii="Times New Roman" w:hAnsi="Times New Roman" w:cs="Times New Roman"/>
          <w:b/>
          <w:bCs/>
          <w:color w:val="000000" w:themeColor="text1"/>
          <w:sz w:val="24"/>
        </w:rPr>
        <w:t>b</w:t>
      </w:r>
      <w:r>
        <w:rPr>
          <w:rFonts w:ascii="Times New Roman" w:hAnsi="Times New Roman" w:cs="Times New Roman"/>
          <w:color w:val="000000" w:themeColor="text1"/>
          <w:sz w:val="24"/>
        </w:rPr>
        <w:t xml:space="preserve"> </w:t>
      </w:r>
      <w:r>
        <w:rPr>
          <w:rFonts w:ascii="Times New Roman" w:eastAsia="等线" w:hAnsi="Times New Roman" w:cs="Times New Roman"/>
          <w:color w:val="000000" w:themeColor="text1"/>
          <w:kern w:val="24"/>
          <w:sz w:val="24"/>
          <w:shd w:val="clear" w:color="auto" w:fill="FFFFFF"/>
        </w:rPr>
        <w:t>ICP-MS test of the electrolytes cycled in ZSO and ZSO</w:t>
      </w:r>
      <w:r>
        <w:rPr>
          <w:rFonts w:ascii="Times New Roman" w:eastAsia="等线" w:hAnsi="Times New Roman" w:cs="Times New Roman" w:hint="eastAsia"/>
          <w:color w:val="000000" w:themeColor="text1"/>
          <w:kern w:val="24"/>
          <w:sz w:val="24"/>
          <w:shd w:val="clear" w:color="auto" w:fill="FFFFFF"/>
        </w:rPr>
        <w:t>/SUSA-0.02.</w:t>
      </w:r>
    </w:p>
    <w:p w14:paraId="1AA8716B" w14:textId="77777777" w:rsidR="000C2399" w:rsidRDefault="00753684" w:rsidP="00533892">
      <w:pPr>
        <w:spacing w:before="120" w:after="120"/>
        <w:rPr>
          <w:rFonts w:ascii="Times New Roman" w:hAnsi="Times New Roman" w:cs="Times New Roman"/>
          <w:sz w:val="24"/>
        </w:rPr>
      </w:pPr>
      <w:r>
        <w:rPr>
          <w:rFonts w:ascii="Times New Roman" w:hAnsi="Times New Roman" w:cs="Times New Roman"/>
          <w:b/>
          <w:bCs/>
          <w:sz w:val="24"/>
        </w:rPr>
        <w:lastRenderedPageBreak/>
        <w:t>Table S1</w:t>
      </w:r>
      <w:r>
        <w:rPr>
          <w:rFonts w:ascii="Times New Roman" w:hAnsi="Times New Roman" w:cs="Times New Roman"/>
          <w:sz w:val="24"/>
        </w:rPr>
        <w:t xml:space="preserve"> The comparative analysis of Zn||Cu cells performance in this work and other works</w:t>
      </w:r>
    </w:p>
    <w:tbl>
      <w:tblPr>
        <w:tblStyle w:val="ab"/>
        <w:tblW w:w="8838" w:type="dxa"/>
        <w:tblBorders>
          <w:top w:val="single" w:sz="8" w:space="0" w:color="000000"/>
          <w:left w:val="none" w:sz="0" w:space="0" w:color="auto"/>
          <w:bottom w:val="single" w:sz="8" w:space="0" w:color="000000"/>
          <w:right w:val="none" w:sz="0" w:space="0" w:color="auto"/>
          <w:insideH w:val="none" w:sz="0" w:space="0" w:color="auto"/>
          <w:insideV w:val="none" w:sz="0" w:space="0" w:color="auto"/>
        </w:tblBorders>
        <w:tblLook w:val="04A0" w:firstRow="1" w:lastRow="0" w:firstColumn="1" w:lastColumn="0" w:noHBand="0" w:noVBand="1"/>
      </w:tblPr>
      <w:tblGrid>
        <w:gridCol w:w="1534"/>
        <w:gridCol w:w="1460"/>
        <w:gridCol w:w="1529"/>
        <w:gridCol w:w="1337"/>
        <w:gridCol w:w="2978"/>
      </w:tblGrid>
      <w:tr w:rsidR="000C2399" w:rsidRPr="00892AE3" w14:paraId="39F98102" w14:textId="77777777" w:rsidTr="00892AE3">
        <w:trPr>
          <w:trHeight w:val="397"/>
        </w:trPr>
        <w:tc>
          <w:tcPr>
            <w:tcW w:w="1534" w:type="dxa"/>
            <w:tcBorders>
              <w:bottom w:val="single" w:sz="8" w:space="0" w:color="000000"/>
              <w:tl2br w:val="nil"/>
              <w:tr2bl w:val="nil"/>
            </w:tcBorders>
            <w:shd w:val="clear" w:color="auto" w:fill="FFFFFF"/>
            <w:vAlign w:val="center"/>
          </w:tcPr>
          <w:p w14:paraId="4B13D87B" w14:textId="77777777" w:rsidR="000C2399" w:rsidRPr="00892AE3" w:rsidRDefault="00753684" w:rsidP="00892AE3">
            <w:pPr>
              <w:jc w:val="center"/>
              <w:rPr>
                <w:rFonts w:ascii="Times New Roman" w:hAnsi="Times New Roman" w:cs="Times New Roman"/>
                <w:b/>
                <w:color w:val="000000"/>
                <w:szCs w:val="21"/>
              </w:rPr>
            </w:pPr>
            <w:r w:rsidRPr="00892AE3">
              <w:rPr>
                <w:rFonts w:ascii="Times New Roman" w:hAnsi="Times New Roman" w:cs="Times New Roman"/>
                <w:b/>
                <w:color w:val="000000"/>
                <w:szCs w:val="21"/>
              </w:rPr>
              <w:t>Current density</w:t>
            </w:r>
          </w:p>
          <w:p w14:paraId="5364D2E1" w14:textId="77777777" w:rsidR="000C2399" w:rsidRPr="00892AE3" w:rsidRDefault="00753684" w:rsidP="00892AE3">
            <w:pPr>
              <w:jc w:val="center"/>
              <w:rPr>
                <w:rFonts w:ascii="Times New Roman" w:hAnsi="Times New Roman" w:cs="Times New Roman"/>
                <w:b/>
                <w:color w:val="000000"/>
                <w:szCs w:val="21"/>
              </w:rPr>
            </w:pPr>
            <w:r w:rsidRPr="00892AE3">
              <w:rPr>
                <w:rFonts w:ascii="Times New Roman" w:hAnsi="Times New Roman" w:cs="Times New Roman"/>
                <w:b/>
                <w:color w:val="000000"/>
                <w:szCs w:val="21"/>
              </w:rPr>
              <w:t>(mA cm</w:t>
            </w:r>
            <w:r w:rsidRPr="00892AE3">
              <w:rPr>
                <w:rFonts w:ascii="Times New Roman" w:hAnsi="Times New Roman" w:cs="Times New Roman"/>
                <w:b/>
                <w:color w:val="000000"/>
                <w:szCs w:val="21"/>
                <w:vertAlign w:val="superscript"/>
              </w:rPr>
              <w:t>-2</w:t>
            </w:r>
            <w:r w:rsidRPr="00892AE3">
              <w:rPr>
                <w:rFonts w:ascii="Times New Roman" w:hAnsi="Times New Roman" w:cs="Times New Roman"/>
                <w:b/>
                <w:color w:val="000000"/>
                <w:szCs w:val="21"/>
              </w:rPr>
              <w:t>)</w:t>
            </w:r>
          </w:p>
        </w:tc>
        <w:tc>
          <w:tcPr>
            <w:tcW w:w="1460" w:type="dxa"/>
            <w:tcBorders>
              <w:bottom w:val="single" w:sz="8" w:space="0" w:color="000000"/>
              <w:tl2br w:val="nil"/>
              <w:tr2bl w:val="nil"/>
            </w:tcBorders>
            <w:shd w:val="clear" w:color="auto" w:fill="FFFFFF"/>
            <w:vAlign w:val="center"/>
          </w:tcPr>
          <w:p w14:paraId="5DFAE6AA" w14:textId="77777777" w:rsidR="000C2399" w:rsidRPr="00892AE3" w:rsidRDefault="00753684" w:rsidP="00892AE3">
            <w:pPr>
              <w:jc w:val="center"/>
              <w:rPr>
                <w:rFonts w:ascii="Times New Roman" w:hAnsi="Times New Roman" w:cs="Times New Roman"/>
                <w:b/>
                <w:color w:val="000000"/>
                <w:szCs w:val="21"/>
              </w:rPr>
            </w:pPr>
            <w:r w:rsidRPr="00892AE3">
              <w:rPr>
                <w:rFonts w:ascii="Times New Roman" w:hAnsi="Times New Roman" w:cs="Times New Roman"/>
                <w:b/>
                <w:color w:val="000000"/>
                <w:szCs w:val="21"/>
              </w:rPr>
              <w:t>Avg. CE (%)</w:t>
            </w:r>
          </w:p>
        </w:tc>
        <w:tc>
          <w:tcPr>
            <w:tcW w:w="1529" w:type="dxa"/>
            <w:tcBorders>
              <w:bottom w:val="single" w:sz="8" w:space="0" w:color="000000"/>
              <w:tl2br w:val="nil"/>
              <w:tr2bl w:val="nil"/>
            </w:tcBorders>
            <w:shd w:val="clear" w:color="auto" w:fill="FFFFFF"/>
            <w:vAlign w:val="center"/>
          </w:tcPr>
          <w:p w14:paraId="7D6FFB4B" w14:textId="77777777" w:rsidR="000C2399" w:rsidRPr="00892AE3" w:rsidRDefault="00753684" w:rsidP="00892AE3">
            <w:pPr>
              <w:jc w:val="center"/>
              <w:rPr>
                <w:rFonts w:ascii="Times New Roman" w:hAnsi="Times New Roman" w:cs="Times New Roman"/>
                <w:b/>
                <w:color w:val="000000"/>
                <w:szCs w:val="21"/>
              </w:rPr>
            </w:pPr>
            <w:r w:rsidRPr="00892AE3">
              <w:rPr>
                <w:rFonts w:ascii="Times New Roman" w:hAnsi="Times New Roman" w:cs="Times New Roman"/>
                <w:b/>
                <w:color w:val="000000"/>
                <w:szCs w:val="21"/>
              </w:rPr>
              <w:t>Cycle number</w:t>
            </w:r>
          </w:p>
        </w:tc>
        <w:tc>
          <w:tcPr>
            <w:tcW w:w="1337" w:type="dxa"/>
            <w:tcBorders>
              <w:bottom w:val="single" w:sz="8" w:space="0" w:color="000000"/>
              <w:tl2br w:val="nil"/>
              <w:tr2bl w:val="nil"/>
            </w:tcBorders>
            <w:shd w:val="clear" w:color="auto" w:fill="FFFFFF"/>
            <w:vAlign w:val="center"/>
          </w:tcPr>
          <w:p w14:paraId="4C086FE5" w14:textId="77777777" w:rsidR="000C2399" w:rsidRPr="00892AE3" w:rsidRDefault="00753684" w:rsidP="00892AE3">
            <w:pPr>
              <w:jc w:val="center"/>
              <w:rPr>
                <w:rFonts w:ascii="Times New Roman" w:hAnsi="Times New Roman" w:cs="Times New Roman"/>
                <w:b/>
                <w:color w:val="000000"/>
                <w:szCs w:val="21"/>
              </w:rPr>
            </w:pPr>
            <w:r w:rsidRPr="00892AE3">
              <w:rPr>
                <w:rFonts w:ascii="Times New Roman" w:hAnsi="Times New Roman" w:cs="Times New Roman"/>
                <w:b/>
                <w:color w:val="000000"/>
                <w:szCs w:val="21"/>
              </w:rPr>
              <w:t>Strategies</w:t>
            </w:r>
          </w:p>
        </w:tc>
        <w:tc>
          <w:tcPr>
            <w:tcW w:w="2978" w:type="dxa"/>
            <w:tcBorders>
              <w:bottom w:val="single" w:sz="8" w:space="0" w:color="000000"/>
              <w:tl2br w:val="nil"/>
              <w:tr2bl w:val="nil"/>
            </w:tcBorders>
            <w:shd w:val="clear" w:color="auto" w:fill="FFFFFF"/>
            <w:vAlign w:val="center"/>
          </w:tcPr>
          <w:p w14:paraId="7AB98392" w14:textId="77777777" w:rsidR="000C2399" w:rsidRPr="00892AE3" w:rsidRDefault="00753684" w:rsidP="00892AE3">
            <w:pPr>
              <w:jc w:val="center"/>
              <w:rPr>
                <w:rFonts w:ascii="Times New Roman" w:hAnsi="Times New Roman" w:cs="Times New Roman"/>
                <w:b/>
                <w:color w:val="000000"/>
                <w:szCs w:val="21"/>
              </w:rPr>
            </w:pPr>
            <w:r w:rsidRPr="00892AE3">
              <w:rPr>
                <w:rFonts w:ascii="Times New Roman" w:hAnsi="Times New Roman" w:cs="Times New Roman"/>
                <w:b/>
                <w:color w:val="000000"/>
                <w:szCs w:val="21"/>
              </w:rPr>
              <w:t>Ref.</w:t>
            </w:r>
          </w:p>
        </w:tc>
      </w:tr>
      <w:tr w:rsidR="000C2399" w:rsidRPr="00892AE3" w14:paraId="2793F860" w14:textId="77777777" w:rsidTr="00892AE3">
        <w:trPr>
          <w:trHeight w:val="397"/>
        </w:trPr>
        <w:tc>
          <w:tcPr>
            <w:tcW w:w="1534" w:type="dxa"/>
            <w:tcBorders>
              <w:top w:val="single" w:sz="8" w:space="0" w:color="000000"/>
              <w:tl2br w:val="nil"/>
              <w:tr2bl w:val="nil"/>
            </w:tcBorders>
            <w:shd w:val="clear" w:color="auto" w:fill="FFFFFF"/>
            <w:vAlign w:val="center"/>
          </w:tcPr>
          <w:p w14:paraId="33D70511"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0.5</w:t>
            </w:r>
          </w:p>
        </w:tc>
        <w:tc>
          <w:tcPr>
            <w:tcW w:w="1460" w:type="dxa"/>
            <w:tcBorders>
              <w:top w:val="single" w:sz="8" w:space="0" w:color="000000"/>
              <w:tl2br w:val="nil"/>
              <w:tr2bl w:val="nil"/>
            </w:tcBorders>
            <w:shd w:val="clear" w:color="auto" w:fill="FFFFFF"/>
            <w:vAlign w:val="center"/>
          </w:tcPr>
          <w:p w14:paraId="5AEA20C3"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99.32</w:t>
            </w:r>
          </w:p>
        </w:tc>
        <w:tc>
          <w:tcPr>
            <w:tcW w:w="1529" w:type="dxa"/>
            <w:tcBorders>
              <w:top w:val="single" w:sz="8" w:space="0" w:color="000000"/>
              <w:tl2br w:val="nil"/>
              <w:tr2bl w:val="nil"/>
            </w:tcBorders>
            <w:shd w:val="clear" w:color="auto" w:fill="FFFFFF"/>
            <w:vAlign w:val="center"/>
          </w:tcPr>
          <w:p w14:paraId="62F7AC88"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220</w:t>
            </w:r>
          </w:p>
        </w:tc>
        <w:tc>
          <w:tcPr>
            <w:tcW w:w="1337" w:type="dxa"/>
            <w:tcBorders>
              <w:top w:val="single" w:sz="8" w:space="0" w:color="000000"/>
              <w:tl2br w:val="nil"/>
              <w:tr2bl w:val="nil"/>
            </w:tcBorders>
            <w:shd w:val="clear" w:color="auto" w:fill="FFFFFF"/>
            <w:vAlign w:val="center"/>
          </w:tcPr>
          <w:p w14:paraId="52A2D97D"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Li</w:t>
            </w:r>
            <w:r w:rsidRPr="00892AE3">
              <w:rPr>
                <w:rFonts w:ascii="Times New Roman" w:hAnsi="Times New Roman" w:cs="Times New Roman"/>
                <w:color w:val="000000"/>
                <w:szCs w:val="21"/>
                <w:vertAlign w:val="subscript"/>
              </w:rPr>
              <w:t>2</w:t>
            </w:r>
            <w:r w:rsidRPr="00892AE3">
              <w:rPr>
                <w:rFonts w:ascii="Times New Roman" w:hAnsi="Times New Roman" w:cs="Times New Roman"/>
                <w:color w:val="000000"/>
                <w:szCs w:val="21"/>
              </w:rPr>
              <w:t>SO</w:t>
            </w:r>
            <w:r w:rsidRPr="00892AE3">
              <w:rPr>
                <w:rFonts w:ascii="Times New Roman" w:hAnsi="Times New Roman" w:cs="Times New Roman"/>
                <w:color w:val="000000"/>
                <w:szCs w:val="21"/>
                <w:vertAlign w:val="subscript"/>
              </w:rPr>
              <w:t>4</w:t>
            </w:r>
          </w:p>
        </w:tc>
        <w:tc>
          <w:tcPr>
            <w:tcW w:w="2978" w:type="dxa"/>
            <w:tcBorders>
              <w:top w:val="single" w:sz="8" w:space="0" w:color="000000"/>
              <w:tl2br w:val="nil"/>
              <w:tr2bl w:val="nil"/>
            </w:tcBorders>
            <w:shd w:val="clear" w:color="auto" w:fill="FFFFFF"/>
            <w:vAlign w:val="center"/>
          </w:tcPr>
          <w:p w14:paraId="4C7E6275"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eastAsia="Arial" w:hAnsi="Times New Roman" w:cs="Times New Roman"/>
                <w:color w:val="000000"/>
                <w:szCs w:val="21"/>
                <w:shd w:val="clear" w:color="auto" w:fill="FFFFFF"/>
              </w:rPr>
              <w:t>10.1021/acsami.2c18154</w:t>
            </w:r>
            <w:r w:rsidRPr="00892AE3">
              <w:rPr>
                <w:rFonts w:ascii="Times New Roman" w:eastAsia="宋体" w:hAnsi="Times New Roman" w:cs="Times New Roman"/>
                <w:color w:val="000000"/>
                <w:szCs w:val="21"/>
                <w:shd w:val="clear" w:color="auto" w:fill="FFFFFF"/>
              </w:rPr>
              <w:t xml:space="preserve"> </w:t>
            </w:r>
            <w:r w:rsidRPr="00892AE3">
              <w:rPr>
                <w:rFonts w:ascii="Times New Roman" w:eastAsia="Arial" w:hAnsi="Times New Roman" w:cs="Times New Roman"/>
                <w:color w:val="000000"/>
                <w:szCs w:val="21"/>
                <w:shd w:val="clear" w:color="auto" w:fill="FFFFFF"/>
              </w:rPr>
              <w:t>[</w:t>
            </w:r>
            <w:r w:rsidRPr="00892AE3">
              <w:rPr>
                <w:rFonts w:ascii="Times New Roman" w:eastAsia="宋体" w:hAnsi="Times New Roman" w:cs="Times New Roman"/>
                <w:color w:val="000000"/>
                <w:szCs w:val="21"/>
                <w:shd w:val="clear" w:color="auto" w:fill="FFFFFF"/>
              </w:rPr>
              <w:t>S</w:t>
            </w:r>
            <w:r w:rsidRPr="00892AE3">
              <w:rPr>
                <w:rFonts w:ascii="Times New Roman" w:eastAsia="Arial" w:hAnsi="Times New Roman" w:cs="Times New Roman"/>
                <w:color w:val="000000"/>
                <w:szCs w:val="21"/>
                <w:shd w:val="clear" w:color="auto" w:fill="FFFFFF"/>
              </w:rPr>
              <w:t>2]</w:t>
            </w:r>
          </w:p>
        </w:tc>
      </w:tr>
      <w:tr w:rsidR="000C2399" w:rsidRPr="00892AE3" w14:paraId="04BA64A8" w14:textId="77777777" w:rsidTr="00892AE3">
        <w:trPr>
          <w:trHeight w:val="397"/>
        </w:trPr>
        <w:tc>
          <w:tcPr>
            <w:tcW w:w="1534" w:type="dxa"/>
            <w:tcBorders>
              <w:tl2br w:val="nil"/>
              <w:tr2bl w:val="nil"/>
            </w:tcBorders>
            <w:shd w:val="clear" w:color="auto" w:fill="FFFFFF"/>
            <w:vAlign w:val="center"/>
          </w:tcPr>
          <w:p w14:paraId="72AC347E"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w:t>
            </w:r>
          </w:p>
        </w:tc>
        <w:tc>
          <w:tcPr>
            <w:tcW w:w="1460" w:type="dxa"/>
            <w:tcBorders>
              <w:tl2br w:val="nil"/>
              <w:tr2bl w:val="nil"/>
            </w:tcBorders>
            <w:shd w:val="clear" w:color="auto" w:fill="FFFFFF"/>
            <w:vAlign w:val="center"/>
          </w:tcPr>
          <w:p w14:paraId="5366B9C3"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99.4</w:t>
            </w:r>
          </w:p>
        </w:tc>
        <w:tc>
          <w:tcPr>
            <w:tcW w:w="1529" w:type="dxa"/>
            <w:tcBorders>
              <w:tl2br w:val="nil"/>
              <w:tr2bl w:val="nil"/>
            </w:tcBorders>
            <w:shd w:val="clear" w:color="auto" w:fill="FFFFFF"/>
            <w:vAlign w:val="center"/>
          </w:tcPr>
          <w:p w14:paraId="26F14E93"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550</w:t>
            </w:r>
          </w:p>
        </w:tc>
        <w:tc>
          <w:tcPr>
            <w:tcW w:w="1337" w:type="dxa"/>
            <w:tcBorders>
              <w:tl2br w:val="nil"/>
              <w:tr2bl w:val="nil"/>
            </w:tcBorders>
            <w:shd w:val="clear" w:color="auto" w:fill="FFFFFF"/>
            <w:vAlign w:val="center"/>
          </w:tcPr>
          <w:p w14:paraId="126023FD"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ZG</w:t>
            </w:r>
          </w:p>
        </w:tc>
        <w:tc>
          <w:tcPr>
            <w:tcW w:w="2978" w:type="dxa"/>
            <w:tcBorders>
              <w:tl2br w:val="nil"/>
              <w:tr2bl w:val="nil"/>
            </w:tcBorders>
            <w:shd w:val="clear" w:color="auto" w:fill="FFFFFF"/>
            <w:vAlign w:val="center"/>
          </w:tcPr>
          <w:p w14:paraId="0D51586F" w14:textId="5C6F7024" w:rsidR="000C2399" w:rsidRPr="00892AE3" w:rsidRDefault="00892AE3" w:rsidP="00892AE3">
            <w:pPr>
              <w:jc w:val="center"/>
              <w:rPr>
                <w:rFonts w:ascii="Times New Roman" w:hAnsi="Times New Roman" w:cs="Times New Roman"/>
                <w:color w:val="000000"/>
                <w:szCs w:val="21"/>
              </w:rPr>
            </w:pPr>
            <w:r w:rsidRPr="00892AE3">
              <w:rPr>
                <w:rFonts w:ascii="Times New Roman" w:hAnsi="Times New Roman" w:cs="Times New Roman"/>
                <w:szCs w:val="21"/>
              </w:rPr>
              <w:t>10.1016/j.mtener.2023.101279</w:t>
            </w:r>
            <w:r w:rsidR="00753684" w:rsidRPr="00892AE3">
              <w:rPr>
                <w:rFonts w:ascii="Times New Roman" w:eastAsia="宋体" w:hAnsi="Times New Roman" w:cs="Times New Roman"/>
                <w:color w:val="000000"/>
                <w:szCs w:val="21"/>
              </w:rPr>
              <w:t xml:space="preserve"> </w:t>
            </w:r>
            <w:r w:rsidR="00753684" w:rsidRPr="00892AE3">
              <w:rPr>
                <w:rFonts w:ascii="Times New Roman" w:eastAsia="Arial" w:hAnsi="Times New Roman" w:cs="Times New Roman"/>
                <w:color w:val="000000"/>
                <w:szCs w:val="21"/>
              </w:rPr>
              <w:t>[</w:t>
            </w:r>
            <w:r w:rsidR="00753684" w:rsidRPr="00892AE3">
              <w:rPr>
                <w:rFonts w:ascii="Times New Roman" w:eastAsia="宋体" w:hAnsi="Times New Roman" w:cs="Times New Roman"/>
                <w:color w:val="000000"/>
                <w:szCs w:val="21"/>
              </w:rPr>
              <w:t>S</w:t>
            </w:r>
            <w:r w:rsidR="00753684" w:rsidRPr="00892AE3">
              <w:rPr>
                <w:rFonts w:ascii="Times New Roman" w:eastAsia="Arial" w:hAnsi="Times New Roman" w:cs="Times New Roman"/>
                <w:color w:val="000000"/>
                <w:szCs w:val="21"/>
              </w:rPr>
              <w:t>3]</w:t>
            </w:r>
          </w:p>
        </w:tc>
      </w:tr>
      <w:tr w:rsidR="000C2399" w:rsidRPr="00892AE3" w14:paraId="730DC0C7" w14:textId="77777777" w:rsidTr="00892AE3">
        <w:trPr>
          <w:trHeight w:val="397"/>
        </w:trPr>
        <w:tc>
          <w:tcPr>
            <w:tcW w:w="1534" w:type="dxa"/>
            <w:tcBorders>
              <w:tl2br w:val="nil"/>
              <w:tr2bl w:val="nil"/>
            </w:tcBorders>
            <w:shd w:val="clear" w:color="auto" w:fill="FFFFFF"/>
            <w:vAlign w:val="center"/>
          </w:tcPr>
          <w:p w14:paraId="7DB43BB2"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2</w:t>
            </w:r>
          </w:p>
        </w:tc>
        <w:tc>
          <w:tcPr>
            <w:tcW w:w="1460" w:type="dxa"/>
            <w:tcBorders>
              <w:tl2br w:val="nil"/>
              <w:tr2bl w:val="nil"/>
            </w:tcBorders>
            <w:shd w:val="clear" w:color="auto" w:fill="FFFFFF"/>
            <w:vAlign w:val="center"/>
          </w:tcPr>
          <w:p w14:paraId="0663247D"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99.35</w:t>
            </w:r>
          </w:p>
        </w:tc>
        <w:tc>
          <w:tcPr>
            <w:tcW w:w="1529" w:type="dxa"/>
            <w:tcBorders>
              <w:tl2br w:val="nil"/>
              <w:tr2bl w:val="nil"/>
            </w:tcBorders>
            <w:shd w:val="clear" w:color="auto" w:fill="FFFFFF"/>
            <w:vAlign w:val="center"/>
          </w:tcPr>
          <w:p w14:paraId="247B769A"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800</w:t>
            </w:r>
          </w:p>
        </w:tc>
        <w:tc>
          <w:tcPr>
            <w:tcW w:w="1337" w:type="dxa"/>
            <w:tcBorders>
              <w:tl2br w:val="nil"/>
              <w:tr2bl w:val="nil"/>
            </w:tcBorders>
            <w:shd w:val="clear" w:color="auto" w:fill="FFFFFF"/>
            <w:vAlign w:val="center"/>
          </w:tcPr>
          <w:p w14:paraId="2F81A55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LA</w:t>
            </w:r>
          </w:p>
        </w:tc>
        <w:tc>
          <w:tcPr>
            <w:tcW w:w="2978" w:type="dxa"/>
            <w:tcBorders>
              <w:tl2br w:val="nil"/>
              <w:tr2bl w:val="nil"/>
            </w:tcBorders>
            <w:shd w:val="clear" w:color="auto" w:fill="FFFFFF"/>
            <w:vAlign w:val="center"/>
          </w:tcPr>
          <w:p w14:paraId="1BB1120A" w14:textId="77777777" w:rsidR="000C2399" w:rsidRPr="00892AE3" w:rsidRDefault="00753684" w:rsidP="00892AE3">
            <w:pPr>
              <w:widowControl/>
              <w:jc w:val="center"/>
              <w:rPr>
                <w:rFonts w:ascii="Times New Roman" w:hAnsi="Times New Roman" w:cs="Times New Roman"/>
                <w:color w:val="000000"/>
                <w:szCs w:val="21"/>
              </w:rPr>
            </w:pPr>
            <w:r w:rsidRPr="00892AE3">
              <w:rPr>
                <w:rFonts w:ascii="Times New Roman" w:eastAsia="ScalaSansPro-Bold" w:hAnsi="Times New Roman" w:cs="Times New Roman"/>
                <w:color w:val="000000"/>
                <w:kern w:val="0"/>
                <w:szCs w:val="21"/>
                <w:lang w:bidi="ar"/>
              </w:rPr>
              <w:t>10.1002/adfm.202411477 [</w:t>
            </w:r>
            <w:r w:rsidRPr="00892AE3">
              <w:rPr>
                <w:rFonts w:ascii="Times New Roman" w:eastAsia="宋体" w:hAnsi="Times New Roman" w:cs="Times New Roman"/>
                <w:color w:val="000000"/>
                <w:kern w:val="0"/>
                <w:szCs w:val="21"/>
                <w:lang w:bidi="ar"/>
              </w:rPr>
              <w:t>S</w:t>
            </w:r>
            <w:r w:rsidRPr="00892AE3">
              <w:rPr>
                <w:rFonts w:ascii="Times New Roman" w:eastAsia="ScalaSansPro-Bold" w:hAnsi="Times New Roman" w:cs="Times New Roman"/>
                <w:color w:val="000000"/>
                <w:kern w:val="0"/>
                <w:szCs w:val="21"/>
                <w:lang w:bidi="ar"/>
              </w:rPr>
              <w:t>4]</w:t>
            </w:r>
          </w:p>
        </w:tc>
      </w:tr>
      <w:tr w:rsidR="000C2399" w:rsidRPr="00892AE3" w14:paraId="3A432F1F" w14:textId="77777777" w:rsidTr="00892AE3">
        <w:trPr>
          <w:trHeight w:val="397"/>
        </w:trPr>
        <w:tc>
          <w:tcPr>
            <w:tcW w:w="1534" w:type="dxa"/>
            <w:tcBorders>
              <w:tl2br w:val="nil"/>
              <w:tr2bl w:val="nil"/>
            </w:tcBorders>
            <w:shd w:val="clear" w:color="auto" w:fill="FFFFFF"/>
            <w:vAlign w:val="center"/>
          </w:tcPr>
          <w:p w14:paraId="71A98681"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w:t>
            </w:r>
          </w:p>
        </w:tc>
        <w:tc>
          <w:tcPr>
            <w:tcW w:w="1460" w:type="dxa"/>
            <w:tcBorders>
              <w:tl2br w:val="nil"/>
              <w:tr2bl w:val="nil"/>
            </w:tcBorders>
            <w:shd w:val="clear" w:color="auto" w:fill="FFFFFF"/>
            <w:vAlign w:val="center"/>
          </w:tcPr>
          <w:p w14:paraId="0F99F894"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99.71</w:t>
            </w:r>
          </w:p>
        </w:tc>
        <w:tc>
          <w:tcPr>
            <w:tcW w:w="1529" w:type="dxa"/>
            <w:tcBorders>
              <w:tl2br w:val="nil"/>
              <w:tr2bl w:val="nil"/>
            </w:tcBorders>
            <w:shd w:val="clear" w:color="auto" w:fill="FFFFFF"/>
            <w:vAlign w:val="center"/>
          </w:tcPr>
          <w:p w14:paraId="20E20708"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400</w:t>
            </w:r>
          </w:p>
        </w:tc>
        <w:tc>
          <w:tcPr>
            <w:tcW w:w="1337" w:type="dxa"/>
            <w:tcBorders>
              <w:tl2br w:val="nil"/>
              <w:tr2bl w:val="nil"/>
            </w:tcBorders>
            <w:shd w:val="clear" w:color="auto" w:fill="FFFFFF"/>
            <w:vAlign w:val="center"/>
          </w:tcPr>
          <w:p w14:paraId="1A347967"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SN</w:t>
            </w:r>
          </w:p>
        </w:tc>
        <w:tc>
          <w:tcPr>
            <w:tcW w:w="2978" w:type="dxa"/>
            <w:tcBorders>
              <w:tl2br w:val="nil"/>
              <w:tr2bl w:val="nil"/>
            </w:tcBorders>
            <w:shd w:val="clear" w:color="auto" w:fill="FFFFFF"/>
            <w:vAlign w:val="center"/>
          </w:tcPr>
          <w:p w14:paraId="6A22206F"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10.1002/adfm.202300795</w:t>
            </w:r>
            <w:r w:rsidRPr="00892AE3">
              <w:rPr>
                <w:rFonts w:ascii="Times New Roman" w:hAnsi="Times New Roman" w:cs="Times New Roman" w:hint="eastAsia"/>
                <w:color w:val="000000"/>
                <w:szCs w:val="21"/>
              </w:rPr>
              <w:t xml:space="preserve"> [S5]</w:t>
            </w:r>
          </w:p>
        </w:tc>
      </w:tr>
      <w:tr w:rsidR="000C2399" w:rsidRPr="00892AE3" w14:paraId="0EDD3952" w14:textId="77777777" w:rsidTr="00892AE3">
        <w:trPr>
          <w:trHeight w:val="397"/>
        </w:trPr>
        <w:tc>
          <w:tcPr>
            <w:tcW w:w="1534" w:type="dxa"/>
            <w:tcBorders>
              <w:tl2br w:val="nil"/>
              <w:tr2bl w:val="nil"/>
            </w:tcBorders>
            <w:shd w:val="clear" w:color="auto" w:fill="FFFFFF"/>
            <w:vAlign w:val="center"/>
          </w:tcPr>
          <w:p w14:paraId="3E738836"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1</w:t>
            </w:r>
          </w:p>
        </w:tc>
        <w:tc>
          <w:tcPr>
            <w:tcW w:w="1460" w:type="dxa"/>
            <w:tcBorders>
              <w:tl2br w:val="nil"/>
              <w:tr2bl w:val="nil"/>
            </w:tcBorders>
            <w:shd w:val="clear" w:color="auto" w:fill="FFFFFF"/>
            <w:vAlign w:val="center"/>
          </w:tcPr>
          <w:p w14:paraId="713D522F"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97.8</w:t>
            </w:r>
          </w:p>
        </w:tc>
        <w:tc>
          <w:tcPr>
            <w:tcW w:w="1529" w:type="dxa"/>
            <w:tcBorders>
              <w:tl2br w:val="nil"/>
              <w:tr2bl w:val="nil"/>
            </w:tcBorders>
            <w:shd w:val="clear" w:color="auto" w:fill="FFFFFF"/>
            <w:vAlign w:val="center"/>
          </w:tcPr>
          <w:p w14:paraId="5886DBB8"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300</w:t>
            </w:r>
          </w:p>
        </w:tc>
        <w:tc>
          <w:tcPr>
            <w:tcW w:w="1337" w:type="dxa"/>
            <w:tcBorders>
              <w:tl2br w:val="nil"/>
              <w:tr2bl w:val="nil"/>
            </w:tcBorders>
            <w:shd w:val="clear" w:color="auto" w:fill="FFFFFF"/>
            <w:vAlign w:val="center"/>
          </w:tcPr>
          <w:p w14:paraId="48A80B6B"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PV</w:t>
            </w:r>
          </w:p>
        </w:tc>
        <w:tc>
          <w:tcPr>
            <w:tcW w:w="2978" w:type="dxa"/>
            <w:tcBorders>
              <w:tl2br w:val="nil"/>
              <w:tr2bl w:val="nil"/>
            </w:tcBorders>
            <w:shd w:val="clear" w:color="auto" w:fill="FFFFFF"/>
            <w:vAlign w:val="center"/>
          </w:tcPr>
          <w:p w14:paraId="71CADF16" w14:textId="77777777" w:rsidR="000C2399" w:rsidRPr="00892AE3" w:rsidRDefault="00753684" w:rsidP="00892AE3">
            <w:pPr>
              <w:widowControl/>
              <w:jc w:val="center"/>
              <w:rPr>
                <w:rFonts w:ascii="Times New Roman" w:hAnsi="Times New Roman" w:cs="Times New Roman"/>
                <w:color w:val="000000"/>
                <w:szCs w:val="21"/>
              </w:rPr>
            </w:pPr>
            <w:r w:rsidRPr="00892AE3">
              <w:rPr>
                <w:rFonts w:ascii="Times New Roman" w:eastAsia="ScalaSansPro-Bold" w:hAnsi="Times New Roman" w:cs="Times New Roman"/>
                <w:color w:val="000000"/>
                <w:kern w:val="0"/>
                <w:szCs w:val="21"/>
                <w:lang w:bidi="ar"/>
              </w:rPr>
              <w:t>10.1002/adfm.202504195</w:t>
            </w:r>
            <w:r w:rsidRPr="00892AE3">
              <w:rPr>
                <w:rFonts w:ascii="Times New Roman" w:eastAsia="ScalaSansPro-Bold" w:hAnsi="Times New Roman" w:cs="Times New Roman" w:hint="eastAsia"/>
                <w:color w:val="000000"/>
                <w:kern w:val="0"/>
                <w:szCs w:val="21"/>
                <w:lang w:bidi="ar"/>
              </w:rPr>
              <w:t xml:space="preserve"> [</w:t>
            </w:r>
            <w:r w:rsidRPr="00892AE3">
              <w:rPr>
                <w:rFonts w:ascii="Times New Roman" w:eastAsia="宋体" w:hAnsi="Times New Roman" w:cs="Times New Roman" w:hint="eastAsia"/>
                <w:color w:val="000000"/>
                <w:kern w:val="0"/>
                <w:szCs w:val="21"/>
                <w:lang w:bidi="ar"/>
              </w:rPr>
              <w:t>S</w:t>
            </w:r>
            <w:r w:rsidRPr="00892AE3">
              <w:rPr>
                <w:rFonts w:ascii="Times New Roman" w:eastAsia="ScalaSansPro-Bold" w:hAnsi="Times New Roman" w:cs="Times New Roman" w:hint="eastAsia"/>
                <w:color w:val="000000"/>
                <w:kern w:val="0"/>
                <w:szCs w:val="21"/>
                <w:lang w:bidi="ar"/>
              </w:rPr>
              <w:t>6]</w:t>
            </w:r>
          </w:p>
        </w:tc>
      </w:tr>
      <w:tr w:rsidR="000C2399" w:rsidRPr="00892AE3" w14:paraId="517D7A02" w14:textId="77777777" w:rsidTr="00892AE3">
        <w:trPr>
          <w:trHeight w:val="397"/>
        </w:trPr>
        <w:tc>
          <w:tcPr>
            <w:tcW w:w="1534" w:type="dxa"/>
            <w:tcBorders>
              <w:tl2br w:val="nil"/>
              <w:tr2bl w:val="nil"/>
            </w:tcBorders>
            <w:shd w:val="clear" w:color="auto" w:fill="FFFFFF"/>
            <w:vAlign w:val="center"/>
          </w:tcPr>
          <w:p w14:paraId="57ECA8AC"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0.5</w:t>
            </w:r>
          </w:p>
        </w:tc>
        <w:tc>
          <w:tcPr>
            <w:tcW w:w="1460" w:type="dxa"/>
            <w:tcBorders>
              <w:tl2br w:val="nil"/>
              <w:tr2bl w:val="nil"/>
            </w:tcBorders>
            <w:shd w:val="clear" w:color="auto" w:fill="FFFFFF"/>
            <w:vAlign w:val="center"/>
          </w:tcPr>
          <w:p w14:paraId="2D0FBCEE"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99.16</w:t>
            </w:r>
          </w:p>
        </w:tc>
        <w:tc>
          <w:tcPr>
            <w:tcW w:w="1529" w:type="dxa"/>
            <w:tcBorders>
              <w:tl2br w:val="nil"/>
              <w:tr2bl w:val="nil"/>
            </w:tcBorders>
            <w:shd w:val="clear" w:color="auto" w:fill="FFFFFF"/>
            <w:vAlign w:val="center"/>
          </w:tcPr>
          <w:p w14:paraId="4FCFC642"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550</w:t>
            </w:r>
          </w:p>
        </w:tc>
        <w:tc>
          <w:tcPr>
            <w:tcW w:w="1337" w:type="dxa"/>
            <w:tcBorders>
              <w:tl2br w:val="nil"/>
              <w:tr2bl w:val="nil"/>
            </w:tcBorders>
            <w:shd w:val="clear" w:color="auto" w:fill="FFFFFF"/>
            <w:vAlign w:val="center"/>
          </w:tcPr>
          <w:p w14:paraId="70F5BCF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Rb</w:t>
            </w:r>
            <w:r w:rsidRPr="00892AE3">
              <w:rPr>
                <w:rFonts w:ascii="Times New Roman" w:hAnsi="Times New Roman" w:cs="Times New Roman"/>
                <w:color w:val="000000"/>
                <w:szCs w:val="21"/>
                <w:vertAlign w:val="subscript"/>
              </w:rPr>
              <w:t>2</w:t>
            </w:r>
            <w:r w:rsidRPr="00892AE3">
              <w:rPr>
                <w:rFonts w:ascii="Times New Roman" w:hAnsi="Times New Roman" w:cs="Times New Roman"/>
                <w:color w:val="000000"/>
                <w:szCs w:val="21"/>
              </w:rPr>
              <w:t>SO</w:t>
            </w:r>
            <w:r w:rsidRPr="00892AE3">
              <w:rPr>
                <w:rFonts w:ascii="Times New Roman" w:hAnsi="Times New Roman" w:cs="Times New Roman"/>
                <w:color w:val="000000"/>
                <w:szCs w:val="21"/>
                <w:vertAlign w:val="subscript"/>
              </w:rPr>
              <w:t>4</w:t>
            </w:r>
          </w:p>
        </w:tc>
        <w:tc>
          <w:tcPr>
            <w:tcW w:w="2978" w:type="dxa"/>
            <w:tcBorders>
              <w:tl2br w:val="nil"/>
              <w:tr2bl w:val="nil"/>
            </w:tcBorders>
            <w:shd w:val="clear" w:color="auto" w:fill="FFFFFF"/>
            <w:vAlign w:val="center"/>
          </w:tcPr>
          <w:p w14:paraId="1E5F84FC" w14:textId="77777777" w:rsidR="000C2399" w:rsidRPr="00892AE3" w:rsidRDefault="00753684" w:rsidP="00892AE3">
            <w:pPr>
              <w:widowControl/>
              <w:jc w:val="center"/>
              <w:rPr>
                <w:rFonts w:ascii="Times New Roman" w:hAnsi="Times New Roman" w:cs="Times New Roman"/>
                <w:color w:val="000000"/>
                <w:szCs w:val="21"/>
              </w:rPr>
            </w:pPr>
            <w:r w:rsidRPr="00892AE3">
              <w:rPr>
                <w:rFonts w:ascii="Times New Roman" w:eastAsia="ScalaSansPro-Bold" w:hAnsi="Times New Roman" w:cs="Times New Roman"/>
                <w:color w:val="000000"/>
                <w:kern w:val="0"/>
                <w:szCs w:val="21"/>
                <w:lang w:bidi="ar"/>
              </w:rPr>
              <w:t>10.1002/smll.202303906</w:t>
            </w:r>
            <w:r w:rsidRPr="00892AE3">
              <w:rPr>
                <w:rFonts w:ascii="Times New Roman" w:eastAsia="ScalaSansPro-Bold" w:hAnsi="Times New Roman" w:cs="Times New Roman" w:hint="eastAsia"/>
                <w:color w:val="000000"/>
                <w:kern w:val="0"/>
                <w:szCs w:val="21"/>
                <w:lang w:bidi="ar"/>
              </w:rPr>
              <w:t xml:space="preserve"> [</w:t>
            </w:r>
            <w:r w:rsidRPr="00892AE3">
              <w:rPr>
                <w:rFonts w:ascii="Times New Roman" w:eastAsia="宋体" w:hAnsi="Times New Roman" w:cs="Times New Roman" w:hint="eastAsia"/>
                <w:color w:val="000000"/>
                <w:kern w:val="0"/>
                <w:szCs w:val="21"/>
                <w:lang w:bidi="ar"/>
              </w:rPr>
              <w:t>S</w:t>
            </w:r>
            <w:r w:rsidRPr="00892AE3">
              <w:rPr>
                <w:rFonts w:ascii="Times New Roman" w:eastAsia="ScalaSansPro-Bold" w:hAnsi="Times New Roman" w:cs="Times New Roman" w:hint="eastAsia"/>
                <w:color w:val="000000"/>
                <w:kern w:val="0"/>
                <w:szCs w:val="21"/>
                <w:lang w:bidi="ar"/>
              </w:rPr>
              <w:t>7]</w:t>
            </w:r>
          </w:p>
        </w:tc>
      </w:tr>
      <w:tr w:rsidR="000C2399" w:rsidRPr="00892AE3" w14:paraId="125E5A99" w14:textId="77777777" w:rsidTr="00892AE3">
        <w:trPr>
          <w:trHeight w:val="397"/>
        </w:trPr>
        <w:tc>
          <w:tcPr>
            <w:tcW w:w="1534" w:type="dxa"/>
            <w:tcBorders>
              <w:tl2br w:val="nil"/>
              <w:tr2bl w:val="nil"/>
            </w:tcBorders>
            <w:shd w:val="clear" w:color="auto" w:fill="FFFFFF"/>
            <w:vAlign w:val="center"/>
          </w:tcPr>
          <w:p w14:paraId="55BE7CFC"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2</w:t>
            </w:r>
          </w:p>
        </w:tc>
        <w:tc>
          <w:tcPr>
            <w:tcW w:w="1460" w:type="dxa"/>
            <w:tcBorders>
              <w:tl2br w:val="nil"/>
              <w:tr2bl w:val="nil"/>
            </w:tcBorders>
            <w:shd w:val="clear" w:color="auto" w:fill="FFFFFF"/>
            <w:vAlign w:val="center"/>
          </w:tcPr>
          <w:p w14:paraId="07CDBCB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99.3</w:t>
            </w:r>
          </w:p>
        </w:tc>
        <w:tc>
          <w:tcPr>
            <w:tcW w:w="1529" w:type="dxa"/>
            <w:tcBorders>
              <w:tl2br w:val="nil"/>
              <w:tr2bl w:val="nil"/>
            </w:tcBorders>
            <w:shd w:val="clear" w:color="auto" w:fill="FFFFFF"/>
            <w:vAlign w:val="center"/>
          </w:tcPr>
          <w:p w14:paraId="7ACDAB44"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500</w:t>
            </w:r>
          </w:p>
        </w:tc>
        <w:tc>
          <w:tcPr>
            <w:tcW w:w="1337" w:type="dxa"/>
            <w:tcBorders>
              <w:tl2br w:val="nil"/>
              <w:tr2bl w:val="nil"/>
            </w:tcBorders>
            <w:shd w:val="clear" w:color="auto" w:fill="FFFFFF"/>
            <w:vAlign w:val="center"/>
          </w:tcPr>
          <w:p w14:paraId="3F305A65" w14:textId="77777777" w:rsidR="000C2399" w:rsidRPr="00892AE3" w:rsidRDefault="00753684" w:rsidP="00892AE3">
            <w:pPr>
              <w:jc w:val="center"/>
              <w:rPr>
                <w:rFonts w:ascii="Times New Roman" w:hAnsi="Times New Roman" w:cs="Times New Roman"/>
                <w:color w:val="000000"/>
                <w:szCs w:val="21"/>
              </w:rPr>
            </w:pPr>
            <w:proofErr w:type="spellStart"/>
            <w:r w:rsidRPr="00892AE3">
              <w:rPr>
                <w:rFonts w:ascii="Times New Roman" w:hAnsi="Times New Roman" w:cs="Times New Roman"/>
                <w:color w:val="000000"/>
                <w:szCs w:val="21"/>
              </w:rPr>
              <w:t>Py</w:t>
            </w:r>
            <w:proofErr w:type="spellEnd"/>
          </w:p>
        </w:tc>
        <w:tc>
          <w:tcPr>
            <w:tcW w:w="2978" w:type="dxa"/>
            <w:tcBorders>
              <w:tl2br w:val="nil"/>
              <w:tr2bl w:val="nil"/>
            </w:tcBorders>
            <w:shd w:val="clear" w:color="auto" w:fill="FFFFFF"/>
            <w:vAlign w:val="center"/>
          </w:tcPr>
          <w:p w14:paraId="3D08B6EC" w14:textId="77777777" w:rsidR="000C2399" w:rsidRPr="00892AE3" w:rsidRDefault="00753684" w:rsidP="00892AE3">
            <w:pPr>
              <w:widowControl/>
              <w:jc w:val="center"/>
              <w:rPr>
                <w:rFonts w:ascii="Times New Roman" w:hAnsi="Times New Roman" w:cs="Times New Roman"/>
                <w:color w:val="000000"/>
                <w:szCs w:val="21"/>
              </w:rPr>
            </w:pPr>
            <w:r w:rsidRPr="00892AE3">
              <w:rPr>
                <w:rFonts w:ascii="Times New Roman" w:eastAsia="ScalaSansLF2-Regular" w:hAnsi="Times New Roman" w:cs="Times New Roman"/>
                <w:color w:val="000000"/>
                <w:kern w:val="0"/>
                <w:szCs w:val="21"/>
                <w:lang w:bidi="ar"/>
              </w:rPr>
              <w:t>10.1002/anie.202302302</w:t>
            </w:r>
            <w:r w:rsidRPr="00892AE3">
              <w:rPr>
                <w:rFonts w:ascii="Times New Roman" w:eastAsia="ScalaSansLF2-Regular" w:hAnsi="Times New Roman" w:cs="Times New Roman" w:hint="eastAsia"/>
                <w:color w:val="000000"/>
                <w:kern w:val="0"/>
                <w:szCs w:val="21"/>
                <w:lang w:bidi="ar"/>
              </w:rPr>
              <w:t xml:space="preserve"> [</w:t>
            </w:r>
            <w:r w:rsidRPr="00892AE3">
              <w:rPr>
                <w:rFonts w:ascii="Times New Roman" w:eastAsia="宋体" w:hAnsi="Times New Roman" w:cs="Times New Roman" w:hint="eastAsia"/>
                <w:color w:val="000000"/>
                <w:kern w:val="0"/>
                <w:szCs w:val="21"/>
                <w:lang w:bidi="ar"/>
              </w:rPr>
              <w:t>S</w:t>
            </w:r>
            <w:r w:rsidRPr="00892AE3">
              <w:rPr>
                <w:rFonts w:ascii="Times New Roman" w:eastAsia="ScalaSansLF2-Regular" w:hAnsi="Times New Roman" w:cs="Times New Roman" w:hint="eastAsia"/>
                <w:color w:val="000000"/>
                <w:kern w:val="0"/>
                <w:szCs w:val="21"/>
                <w:lang w:bidi="ar"/>
              </w:rPr>
              <w:t>8]</w:t>
            </w:r>
          </w:p>
        </w:tc>
      </w:tr>
      <w:tr w:rsidR="000C2399" w:rsidRPr="00892AE3" w14:paraId="5AA487D7" w14:textId="77777777" w:rsidTr="00892AE3">
        <w:trPr>
          <w:trHeight w:val="397"/>
        </w:trPr>
        <w:tc>
          <w:tcPr>
            <w:tcW w:w="1534" w:type="dxa"/>
            <w:tcBorders>
              <w:tl2br w:val="nil"/>
              <w:tr2bl w:val="nil"/>
            </w:tcBorders>
            <w:shd w:val="clear" w:color="auto" w:fill="FFFFFF"/>
            <w:vAlign w:val="center"/>
          </w:tcPr>
          <w:p w14:paraId="48C6516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1</w:t>
            </w:r>
          </w:p>
        </w:tc>
        <w:tc>
          <w:tcPr>
            <w:tcW w:w="1460" w:type="dxa"/>
            <w:tcBorders>
              <w:tl2br w:val="nil"/>
              <w:tr2bl w:val="nil"/>
            </w:tcBorders>
            <w:shd w:val="clear" w:color="auto" w:fill="FFFFFF"/>
            <w:vAlign w:val="center"/>
          </w:tcPr>
          <w:p w14:paraId="7B2DFAF7"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99.24</w:t>
            </w:r>
          </w:p>
        </w:tc>
        <w:tc>
          <w:tcPr>
            <w:tcW w:w="1529" w:type="dxa"/>
            <w:tcBorders>
              <w:tl2br w:val="nil"/>
              <w:tr2bl w:val="nil"/>
            </w:tcBorders>
            <w:shd w:val="clear" w:color="auto" w:fill="FFFFFF"/>
            <w:vAlign w:val="center"/>
          </w:tcPr>
          <w:p w14:paraId="2E01BD0F"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800</w:t>
            </w:r>
          </w:p>
        </w:tc>
        <w:tc>
          <w:tcPr>
            <w:tcW w:w="1337" w:type="dxa"/>
            <w:tcBorders>
              <w:tl2br w:val="nil"/>
              <w:tr2bl w:val="nil"/>
            </w:tcBorders>
            <w:shd w:val="clear" w:color="auto" w:fill="FFFFFF"/>
            <w:vAlign w:val="center"/>
          </w:tcPr>
          <w:p w14:paraId="13BEAE83" w14:textId="77777777" w:rsidR="000C2399" w:rsidRPr="00892AE3" w:rsidRDefault="00753684" w:rsidP="00892AE3">
            <w:pPr>
              <w:jc w:val="center"/>
              <w:rPr>
                <w:rFonts w:ascii="Times New Roman" w:hAnsi="Times New Roman" w:cs="Times New Roman"/>
                <w:color w:val="000000"/>
                <w:szCs w:val="21"/>
              </w:rPr>
            </w:pPr>
            <w:proofErr w:type="spellStart"/>
            <w:r w:rsidRPr="00892AE3">
              <w:rPr>
                <w:rFonts w:ascii="Times New Roman" w:hAnsi="Times New Roman" w:cs="Times New Roman"/>
                <w:color w:val="000000"/>
                <w:szCs w:val="21"/>
              </w:rPr>
              <w:t>Caf</w:t>
            </w:r>
            <w:proofErr w:type="spellEnd"/>
          </w:p>
        </w:tc>
        <w:tc>
          <w:tcPr>
            <w:tcW w:w="2978" w:type="dxa"/>
            <w:tcBorders>
              <w:tl2br w:val="nil"/>
              <w:tr2bl w:val="nil"/>
            </w:tcBorders>
            <w:shd w:val="clear" w:color="auto" w:fill="FFFFFF"/>
            <w:vAlign w:val="center"/>
          </w:tcPr>
          <w:p w14:paraId="153984B3" w14:textId="77777777" w:rsidR="000C2399" w:rsidRPr="00892AE3" w:rsidRDefault="00753684" w:rsidP="00892AE3">
            <w:pPr>
              <w:widowControl/>
              <w:jc w:val="center"/>
              <w:rPr>
                <w:rFonts w:ascii="Times New Roman" w:hAnsi="Times New Roman" w:cs="Times New Roman"/>
                <w:color w:val="000000"/>
                <w:szCs w:val="21"/>
              </w:rPr>
            </w:pPr>
            <w:r w:rsidRPr="00892AE3">
              <w:rPr>
                <w:rFonts w:ascii="Times New Roman" w:eastAsia="AdvGulliv-R" w:hAnsi="Times New Roman" w:cs="Times New Roman"/>
                <w:color w:val="000000"/>
                <w:kern w:val="0"/>
                <w:szCs w:val="21"/>
                <w:lang w:bidi="ar"/>
              </w:rPr>
              <w:t>10.1016/j.jechem.2025.02.066</w:t>
            </w:r>
            <w:r w:rsidRPr="00892AE3">
              <w:rPr>
                <w:rFonts w:ascii="Times New Roman" w:eastAsia="AdvGulliv-R" w:hAnsi="Times New Roman" w:cs="Times New Roman" w:hint="eastAsia"/>
                <w:color w:val="000000"/>
                <w:kern w:val="0"/>
                <w:szCs w:val="21"/>
                <w:lang w:bidi="ar"/>
              </w:rPr>
              <w:t xml:space="preserve"> [</w:t>
            </w:r>
            <w:r w:rsidRPr="00892AE3">
              <w:rPr>
                <w:rFonts w:ascii="Times New Roman" w:eastAsia="宋体" w:hAnsi="Times New Roman" w:cs="Times New Roman" w:hint="eastAsia"/>
                <w:color w:val="000000"/>
                <w:kern w:val="0"/>
                <w:szCs w:val="21"/>
                <w:lang w:bidi="ar"/>
              </w:rPr>
              <w:t>S</w:t>
            </w:r>
            <w:r w:rsidRPr="00892AE3">
              <w:rPr>
                <w:rFonts w:ascii="Times New Roman" w:eastAsia="AdvGulliv-R" w:hAnsi="Times New Roman" w:cs="Times New Roman" w:hint="eastAsia"/>
                <w:color w:val="000000"/>
                <w:kern w:val="0"/>
                <w:szCs w:val="21"/>
                <w:lang w:bidi="ar"/>
              </w:rPr>
              <w:t>9]</w:t>
            </w:r>
          </w:p>
        </w:tc>
      </w:tr>
      <w:tr w:rsidR="000C2399" w:rsidRPr="00892AE3" w14:paraId="322ABA8A" w14:textId="77777777" w:rsidTr="00892AE3">
        <w:trPr>
          <w:trHeight w:val="397"/>
        </w:trPr>
        <w:tc>
          <w:tcPr>
            <w:tcW w:w="1534" w:type="dxa"/>
            <w:tcBorders>
              <w:tl2br w:val="nil"/>
              <w:tr2bl w:val="nil"/>
            </w:tcBorders>
            <w:shd w:val="clear" w:color="auto" w:fill="FFFFFF"/>
            <w:vAlign w:val="center"/>
          </w:tcPr>
          <w:p w14:paraId="74FC2183"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w:t>
            </w:r>
          </w:p>
        </w:tc>
        <w:tc>
          <w:tcPr>
            <w:tcW w:w="1460" w:type="dxa"/>
            <w:tcBorders>
              <w:tl2br w:val="nil"/>
              <w:tr2bl w:val="nil"/>
            </w:tcBorders>
            <w:shd w:val="clear" w:color="auto" w:fill="FFFFFF"/>
            <w:vAlign w:val="center"/>
          </w:tcPr>
          <w:p w14:paraId="079E99B3"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99.6</w:t>
            </w:r>
          </w:p>
        </w:tc>
        <w:tc>
          <w:tcPr>
            <w:tcW w:w="1529" w:type="dxa"/>
            <w:tcBorders>
              <w:tl2br w:val="nil"/>
              <w:tr2bl w:val="nil"/>
            </w:tcBorders>
            <w:shd w:val="clear" w:color="auto" w:fill="FFFFFF"/>
            <w:vAlign w:val="center"/>
          </w:tcPr>
          <w:p w14:paraId="6A7B2C4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600</w:t>
            </w:r>
          </w:p>
        </w:tc>
        <w:tc>
          <w:tcPr>
            <w:tcW w:w="1337" w:type="dxa"/>
            <w:tcBorders>
              <w:tl2br w:val="nil"/>
              <w:tr2bl w:val="nil"/>
            </w:tcBorders>
            <w:shd w:val="clear" w:color="auto" w:fill="FFFFFF"/>
            <w:vAlign w:val="center"/>
          </w:tcPr>
          <w:p w14:paraId="125ED892"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MPC</w:t>
            </w:r>
          </w:p>
        </w:tc>
        <w:tc>
          <w:tcPr>
            <w:tcW w:w="2978" w:type="dxa"/>
            <w:tcBorders>
              <w:tl2br w:val="nil"/>
              <w:tr2bl w:val="nil"/>
            </w:tcBorders>
            <w:shd w:val="clear" w:color="auto" w:fill="FFFFFF"/>
            <w:vAlign w:val="center"/>
          </w:tcPr>
          <w:p w14:paraId="5BA709AB" w14:textId="77777777" w:rsidR="000C2399" w:rsidRPr="00892AE3" w:rsidRDefault="00753684" w:rsidP="00892AE3">
            <w:pPr>
              <w:widowControl/>
              <w:jc w:val="center"/>
              <w:rPr>
                <w:rFonts w:ascii="Times New Roman" w:hAnsi="Times New Roman" w:cs="Times New Roman"/>
                <w:color w:val="000000"/>
                <w:szCs w:val="21"/>
              </w:rPr>
            </w:pPr>
            <w:r w:rsidRPr="00892AE3">
              <w:rPr>
                <w:rFonts w:ascii="Times New Roman" w:eastAsia="STIX-Regular" w:hAnsi="Times New Roman" w:cs="Times New Roman"/>
                <w:color w:val="000000"/>
                <w:kern w:val="0"/>
                <w:szCs w:val="21"/>
                <w:lang w:bidi="ar"/>
              </w:rPr>
              <w:t>10.1007/s40820-025-01826-w</w:t>
            </w:r>
            <w:r w:rsidRPr="00892AE3">
              <w:rPr>
                <w:rFonts w:ascii="Times New Roman" w:eastAsia="STIX-Regular" w:hAnsi="Times New Roman" w:cs="Times New Roman" w:hint="eastAsia"/>
                <w:color w:val="000000"/>
                <w:kern w:val="0"/>
                <w:szCs w:val="21"/>
                <w:lang w:bidi="ar"/>
              </w:rPr>
              <w:t xml:space="preserve"> [</w:t>
            </w:r>
            <w:r w:rsidRPr="00892AE3">
              <w:rPr>
                <w:rFonts w:ascii="Times New Roman" w:eastAsia="宋体" w:hAnsi="Times New Roman" w:cs="Times New Roman" w:hint="eastAsia"/>
                <w:color w:val="000000"/>
                <w:kern w:val="0"/>
                <w:szCs w:val="21"/>
                <w:lang w:bidi="ar"/>
              </w:rPr>
              <w:t>S</w:t>
            </w:r>
            <w:r w:rsidRPr="00892AE3">
              <w:rPr>
                <w:rFonts w:ascii="Times New Roman" w:eastAsia="STIX-Regular" w:hAnsi="Times New Roman" w:cs="Times New Roman" w:hint="eastAsia"/>
                <w:color w:val="000000"/>
                <w:kern w:val="0"/>
                <w:szCs w:val="21"/>
                <w:lang w:bidi="ar"/>
              </w:rPr>
              <w:t>10]</w:t>
            </w:r>
          </w:p>
        </w:tc>
      </w:tr>
      <w:tr w:rsidR="000C2399" w:rsidRPr="00892AE3" w14:paraId="2D2D4528" w14:textId="77777777" w:rsidTr="00892AE3">
        <w:trPr>
          <w:trHeight w:val="397"/>
        </w:trPr>
        <w:tc>
          <w:tcPr>
            <w:tcW w:w="1534" w:type="dxa"/>
            <w:tcBorders>
              <w:tl2br w:val="nil"/>
              <w:tr2bl w:val="nil"/>
            </w:tcBorders>
            <w:shd w:val="clear" w:color="auto" w:fill="FFFFFF"/>
            <w:vAlign w:val="center"/>
          </w:tcPr>
          <w:p w14:paraId="2C431CAC"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1</w:t>
            </w:r>
          </w:p>
        </w:tc>
        <w:tc>
          <w:tcPr>
            <w:tcW w:w="1460" w:type="dxa"/>
            <w:tcBorders>
              <w:tl2br w:val="nil"/>
              <w:tr2bl w:val="nil"/>
            </w:tcBorders>
            <w:shd w:val="clear" w:color="auto" w:fill="FFFFFF"/>
            <w:vAlign w:val="center"/>
          </w:tcPr>
          <w:p w14:paraId="25AFB27A"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99.33</w:t>
            </w:r>
          </w:p>
        </w:tc>
        <w:tc>
          <w:tcPr>
            <w:tcW w:w="1529" w:type="dxa"/>
            <w:tcBorders>
              <w:tl2br w:val="nil"/>
              <w:tr2bl w:val="nil"/>
            </w:tcBorders>
            <w:shd w:val="clear" w:color="auto" w:fill="FFFFFF"/>
            <w:vAlign w:val="center"/>
          </w:tcPr>
          <w:p w14:paraId="605EAA71"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930</w:t>
            </w:r>
          </w:p>
        </w:tc>
        <w:tc>
          <w:tcPr>
            <w:tcW w:w="1337" w:type="dxa"/>
            <w:tcBorders>
              <w:tl2br w:val="nil"/>
              <w:tr2bl w:val="nil"/>
            </w:tcBorders>
            <w:shd w:val="clear" w:color="auto" w:fill="FFFFFF"/>
            <w:vAlign w:val="center"/>
          </w:tcPr>
          <w:p w14:paraId="2ABD8CC4"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SUSA</w:t>
            </w:r>
          </w:p>
        </w:tc>
        <w:tc>
          <w:tcPr>
            <w:tcW w:w="2978" w:type="dxa"/>
            <w:tcBorders>
              <w:tl2br w:val="nil"/>
              <w:tr2bl w:val="nil"/>
            </w:tcBorders>
            <w:shd w:val="clear" w:color="auto" w:fill="FFFFFF"/>
            <w:vAlign w:val="center"/>
          </w:tcPr>
          <w:p w14:paraId="44CDFB44"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This work</w:t>
            </w:r>
          </w:p>
        </w:tc>
      </w:tr>
      <w:tr w:rsidR="000C2399" w:rsidRPr="00892AE3" w14:paraId="02CBAE82" w14:textId="77777777" w:rsidTr="00892AE3">
        <w:trPr>
          <w:trHeight w:val="397"/>
        </w:trPr>
        <w:tc>
          <w:tcPr>
            <w:tcW w:w="1534" w:type="dxa"/>
            <w:tcBorders>
              <w:tl2br w:val="nil"/>
              <w:tr2bl w:val="nil"/>
            </w:tcBorders>
            <w:shd w:val="clear" w:color="auto" w:fill="FFFFFF"/>
            <w:vAlign w:val="center"/>
          </w:tcPr>
          <w:p w14:paraId="3CC2E71F"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2</w:t>
            </w:r>
          </w:p>
        </w:tc>
        <w:tc>
          <w:tcPr>
            <w:tcW w:w="1460" w:type="dxa"/>
            <w:tcBorders>
              <w:tl2br w:val="nil"/>
              <w:tr2bl w:val="nil"/>
            </w:tcBorders>
            <w:shd w:val="clear" w:color="auto" w:fill="FFFFFF"/>
            <w:vAlign w:val="center"/>
          </w:tcPr>
          <w:p w14:paraId="1C297711"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99.48</w:t>
            </w:r>
          </w:p>
        </w:tc>
        <w:tc>
          <w:tcPr>
            <w:tcW w:w="1529" w:type="dxa"/>
            <w:tcBorders>
              <w:tl2br w:val="nil"/>
              <w:tr2bl w:val="nil"/>
            </w:tcBorders>
            <w:shd w:val="clear" w:color="auto" w:fill="FFFFFF"/>
            <w:vAlign w:val="center"/>
          </w:tcPr>
          <w:p w14:paraId="7DC982BE"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1600</w:t>
            </w:r>
          </w:p>
        </w:tc>
        <w:tc>
          <w:tcPr>
            <w:tcW w:w="1337" w:type="dxa"/>
            <w:tcBorders>
              <w:tl2br w:val="nil"/>
              <w:tr2bl w:val="nil"/>
            </w:tcBorders>
            <w:shd w:val="clear" w:color="auto" w:fill="FFFFFF"/>
            <w:vAlign w:val="center"/>
          </w:tcPr>
          <w:p w14:paraId="36A99C60"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SUSA</w:t>
            </w:r>
          </w:p>
        </w:tc>
        <w:tc>
          <w:tcPr>
            <w:tcW w:w="2978" w:type="dxa"/>
            <w:tcBorders>
              <w:tl2br w:val="nil"/>
              <w:tr2bl w:val="nil"/>
            </w:tcBorders>
            <w:shd w:val="clear" w:color="auto" w:fill="FFFFFF"/>
            <w:vAlign w:val="center"/>
          </w:tcPr>
          <w:p w14:paraId="23E0D157"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This work</w:t>
            </w:r>
          </w:p>
        </w:tc>
      </w:tr>
      <w:tr w:rsidR="000C2399" w:rsidRPr="00892AE3" w14:paraId="57200B87" w14:textId="77777777" w:rsidTr="00892AE3">
        <w:trPr>
          <w:trHeight w:val="397"/>
        </w:trPr>
        <w:tc>
          <w:tcPr>
            <w:tcW w:w="1534" w:type="dxa"/>
            <w:tcBorders>
              <w:tl2br w:val="nil"/>
              <w:tr2bl w:val="nil"/>
            </w:tcBorders>
            <w:shd w:val="clear" w:color="auto" w:fill="FFFFFF"/>
            <w:vAlign w:val="center"/>
          </w:tcPr>
          <w:p w14:paraId="5AF251AB"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5</w:t>
            </w:r>
          </w:p>
        </w:tc>
        <w:tc>
          <w:tcPr>
            <w:tcW w:w="1460" w:type="dxa"/>
            <w:tcBorders>
              <w:tl2br w:val="nil"/>
              <w:tr2bl w:val="nil"/>
            </w:tcBorders>
            <w:shd w:val="clear" w:color="auto" w:fill="FFFFFF"/>
            <w:vAlign w:val="center"/>
          </w:tcPr>
          <w:p w14:paraId="1D33FFEB"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99.76</w:t>
            </w:r>
          </w:p>
        </w:tc>
        <w:tc>
          <w:tcPr>
            <w:tcW w:w="1529" w:type="dxa"/>
            <w:tcBorders>
              <w:tl2br w:val="nil"/>
              <w:tr2bl w:val="nil"/>
            </w:tcBorders>
            <w:shd w:val="clear" w:color="auto" w:fill="FFFFFF"/>
            <w:vAlign w:val="center"/>
          </w:tcPr>
          <w:p w14:paraId="6EED88F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1100</w:t>
            </w:r>
          </w:p>
        </w:tc>
        <w:tc>
          <w:tcPr>
            <w:tcW w:w="1337" w:type="dxa"/>
            <w:tcBorders>
              <w:tl2br w:val="nil"/>
              <w:tr2bl w:val="nil"/>
            </w:tcBorders>
            <w:shd w:val="clear" w:color="auto" w:fill="FFFFFF"/>
            <w:vAlign w:val="center"/>
          </w:tcPr>
          <w:p w14:paraId="29ACB7E9"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SUSA</w:t>
            </w:r>
          </w:p>
        </w:tc>
        <w:tc>
          <w:tcPr>
            <w:tcW w:w="2978" w:type="dxa"/>
            <w:tcBorders>
              <w:tl2br w:val="nil"/>
              <w:tr2bl w:val="nil"/>
            </w:tcBorders>
            <w:shd w:val="clear" w:color="auto" w:fill="FFFFFF"/>
            <w:vAlign w:val="center"/>
          </w:tcPr>
          <w:p w14:paraId="62183E6F" w14:textId="77777777" w:rsidR="000C2399" w:rsidRPr="00892AE3" w:rsidRDefault="00753684" w:rsidP="00892AE3">
            <w:pPr>
              <w:jc w:val="center"/>
              <w:rPr>
                <w:rFonts w:ascii="Times New Roman" w:hAnsi="Times New Roman" w:cs="Times New Roman"/>
                <w:color w:val="000000"/>
                <w:szCs w:val="21"/>
              </w:rPr>
            </w:pPr>
            <w:r w:rsidRPr="00892AE3">
              <w:rPr>
                <w:rFonts w:ascii="Times New Roman" w:hAnsi="Times New Roman" w:cs="Times New Roman"/>
                <w:color w:val="000000"/>
                <w:szCs w:val="21"/>
              </w:rPr>
              <w:t>This work</w:t>
            </w:r>
          </w:p>
        </w:tc>
      </w:tr>
    </w:tbl>
    <w:p w14:paraId="1367212C" w14:textId="77777777" w:rsidR="00892AE3" w:rsidRDefault="00892AE3" w:rsidP="00533892">
      <w:pPr>
        <w:spacing w:before="120" w:after="120"/>
        <w:rPr>
          <w:rFonts w:ascii="Times New Roman" w:hAnsi="Times New Roman" w:cs="Times New Roman"/>
          <w:b/>
          <w:bCs/>
          <w:sz w:val="24"/>
        </w:rPr>
      </w:pPr>
    </w:p>
    <w:p w14:paraId="036726C5" w14:textId="337B11D0" w:rsidR="000C2399" w:rsidRDefault="00753684" w:rsidP="00533892">
      <w:pPr>
        <w:spacing w:before="120" w:after="120"/>
        <w:rPr>
          <w:rFonts w:ascii="Times New Roman" w:hAnsi="Times New Roman" w:cs="Times New Roman"/>
          <w:sz w:val="24"/>
        </w:rPr>
      </w:pPr>
      <w:r>
        <w:rPr>
          <w:rFonts w:ascii="Times New Roman" w:hAnsi="Times New Roman" w:cs="Times New Roman"/>
          <w:b/>
          <w:bCs/>
          <w:sz w:val="24"/>
        </w:rPr>
        <w:t xml:space="preserve">Table S2 </w:t>
      </w:r>
      <w:r>
        <w:rPr>
          <w:rFonts w:ascii="Times New Roman" w:hAnsi="Times New Roman" w:cs="Times New Roman"/>
          <w:sz w:val="24"/>
        </w:rPr>
        <w:t>The comparative analysis of Zn||Zn cells performance (CPC) in this work and other works</w:t>
      </w:r>
    </w:p>
    <w:tbl>
      <w:tblPr>
        <w:tblStyle w:val="ab"/>
        <w:tblW w:w="8658" w:type="dxa"/>
        <w:tblBorders>
          <w:top w:val="single" w:sz="8" w:space="0" w:color="000000"/>
          <w:left w:val="none" w:sz="0" w:space="0" w:color="auto"/>
          <w:bottom w:val="single" w:sz="8" w:space="0" w:color="000000"/>
          <w:right w:val="none" w:sz="0" w:space="0" w:color="auto"/>
          <w:insideH w:val="none" w:sz="0" w:space="0" w:color="auto"/>
          <w:insideV w:val="none" w:sz="0" w:space="0" w:color="auto"/>
        </w:tblBorders>
        <w:tblLook w:val="04A0" w:firstRow="1" w:lastRow="0" w:firstColumn="1" w:lastColumn="0" w:noHBand="0" w:noVBand="1"/>
      </w:tblPr>
      <w:tblGrid>
        <w:gridCol w:w="1489"/>
        <w:gridCol w:w="1529"/>
        <w:gridCol w:w="1380"/>
        <w:gridCol w:w="1417"/>
        <w:gridCol w:w="2843"/>
      </w:tblGrid>
      <w:tr w:rsidR="000C2399" w:rsidRPr="00892AE3" w14:paraId="55E2C03D" w14:textId="77777777" w:rsidTr="00892AE3">
        <w:trPr>
          <w:trHeight w:val="20"/>
        </w:trPr>
        <w:tc>
          <w:tcPr>
            <w:tcW w:w="1489" w:type="dxa"/>
            <w:tcBorders>
              <w:bottom w:val="single" w:sz="8" w:space="0" w:color="000000"/>
            </w:tcBorders>
            <w:shd w:val="clear" w:color="auto" w:fill="FFFFFF"/>
            <w:vAlign w:val="center"/>
          </w:tcPr>
          <w:p w14:paraId="2746F62F"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Cycle time (h)</w:t>
            </w:r>
          </w:p>
        </w:tc>
        <w:tc>
          <w:tcPr>
            <w:tcW w:w="1529" w:type="dxa"/>
            <w:tcBorders>
              <w:bottom w:val="single" w:sz="8" w:space="0" w:color="000000"/>
            </w:tcBorders>
            <w:shd w:val="clear" w:color="auto" w:fill="FFFFFF"/>
            <w:vAlign w:val="center"/>
          </w:tcPr>
          <w:p w14:paraId="685F3FC4"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Current density (mA cm</w:t>
            </w:r>
            <w:r w:rsidRPr="00892AE3">
              <w:rPr>
                <w:rFonts w:ascii="Times New Roman" w:hAnsi="Times New Roman" w:cs="Times New Roman"/>
                <w:b/>
                <w:bCs/>
                <w:color w:val="000000"/>
                <w:szCs w:val="21"/>
                <w:vertAlign w:val="superscript"/>
              </w:rPr>
              <w:t>-2</w:t>
            </w:r>
            <w:r w:rsidRPr="00892AE3">
              <w:rPr>
                <w:rFonts w:ascii="Times New Roman" w:hAnsi="Times New Roman" w:cs="Times New Roman"/>
                <w:b/>
                <w:bCs/>
                <w:color w:val="000000"/>
                <w:szCs w:val="21"/>
              </w:rPr>
              <w:t>)</w:t>
            </w:r>
          </w:p>
        </w:tc>
        <w:tc>
          <w:tcPr>
            <w:tcW w:w="1380" w:type="dxa"/>
            <w:tcBorders>
              <w:bottom w:val="single" w:sz="8" w:space="0" w:color="000000"/>
            </w:tcBorders>
            <w:shd w:val="clear" w:color="auto" w:fill="FFFFFF"/>
            <w:vAlign w:val="center"/>
          </w:tcPr>
          <w:p w14:paraId="291E221D"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CPC (Ah cm</w:t>
            </w:r>
            <w:r w:rsidRPr="00892AE3">
              <w:rPr>
                <w:rFonts w:ascii="Times New Roman" w:hAnsi="Times New Roman" w:cs="Times New Roman"/>
                <w:b/>
                <w:bCs/>
                <w:color w:val="000000"/>
                <w:szCs w:val="21"/>
                <w:vertAlign w:val="superscript"/>
              </w:rPr>
              <w:t>-2</w:t>
            </w:r>
            <w:r w:rsidRPr="00892AE3">
              <w:rPr>
                <w:rFonts w:ascii="Times New Roman" w:hAnsi="Times New Roman" w:cs="Times New Roman"/>
                <w:b/>
                <w:bCs/>
                <w:color w:val="000000"/>
                <w:szCs w:val="21"/>
              </w:rPr>
              <w:t>)</w:t>
            </w:r>
          </w:p>
        </w:tc>
        <w:tc>
          <w:tcPr>
            <w:tcW w:w="1417" w:type="dxa"/>
            <w:tcBorders>
              <w:bottom w:val="single" w:sz="8" w:space="0" w:color="000000"/>
            </w:tcBorders>
            <w:shd w:val="clear" w:color="auto" w:fill="FFFFFF"/>
            <w:vAlign w:val="center"/>
          </w:tcPr>
          <w:p w14:paraId="040F7932"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Strategies</w:t>
            </w:r>
          </w:p>
        </w:tc>
        <w:tc>
          <w:tcPr>
            <w:tcW w:w="2843" w:type="dxa"/>
            <w:tcBorders>
              <w:bottom w:val="single" w:sz="8" w:space="0" w:color="000000"/>
            </w:tcBorders>
            <w:shd w:val="clear" w:color="auto" w:fill="FFFFFF"/>
            <w:vAlign w:val="center"/>
          </w:tcPr>
          <w:p w14:paraId="60A931A7"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Ref.</w:t>
            </w:r>
          </w:p>
        </w:tc>
      </w:tr>
      <w:tr w:rsidR="000C2399" w:rsidRPr="00892AE3" w14:paraId="2E0F5080" w14:textId="77777777" w:rsidTr="00892AE3">
        <w:trPr>
          <w:trHeight w:val="20"/>
        </w:trPr>
        <w:tc>
          <w:tcPr>
            <w:tcW w:w="1489" w:type="dxa"/>
            <w:tcBorders>
              <w:top w:val="single" w:sz="8" w:space="0" w:color="000000"/>
            </w:tcBorders>
            <w:shd w:val="clear" w:color="auto" w:fill="FFFFFF"/>
            <w:vAlign w:val="center"/>
          </w:tcPr>
          <w:p w14:paraId="76F5C59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50</w:t>
            </w:r>
          </w:p>
        </w:tc>
        <w:tc>
          <w:tcPr>
            <w:tcW w:w="1529" w:type="dxa"/>
            <w:tcBorders>
              <w:top w:val="single" w:sz="8" w:space="0" w:color="000000"/>
            </w:tcBorders>
            <w:shd w:val="clear" w:color="auto" w:fill="FFFFFF"/>
            <w:vAlign w:val="center"/>
          </w:tcPr>
          <w:p w14:paraId="4DA92A9C"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20</w:t>
            </w:r>
          </w:p>
        </w:tc>
        <w:tc>
          <w:tcPr>
            <w:tcW w:w="1380" w:type="dxa"/>
            <w:tcBorders>
              <w:top w:val="single" w:sz="8" w:space="0" w:color="000000"/>
            </w:tcBorders>
            <w:shd w:val="clear" w:color="auto" w:fill="FFFFFF"/>
            <w:vAlign w:val="center"/>
          </w:tcPr>
          <w:p w14:paraId="6DD481E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w:t>
            </w:r>
          </w:p>
        </w:tc>
        <w:tc>
          <w:tcPr>
            <w:tcW w:w="1417" w:type="dxa"/>
            <w:tcBorders>
              <w:top w:val="single" w:sz="8" w:space="0" w:color="000000"/>
            </w:tcBorders>
            <w:shd w:val="clear" w:color="auto" w:fill="FFFFFF"/>
            <w:vAlign w:val="center"/>
          </w:tcPr>
          <w:p w14:paraId="0C8875F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SL</w:t>
            </w:r>
          </w:p>
        </w:tc>
        <w:tc>
          <w:tcPr>
            <w:tcW w:w="2843" w:type="dxa"/>
            <w:tcBorders>
              <w:top w:val="single" w:sz="8" w:space="0" w:color="000000"/>
            </w:tcBorders>
            <w:shd w:val="clear" w:color="auto" w:fill="FFFFFF"/>
            <w:vAlign w:val="center"/>
          </w:tcPr>
          <w:p w14:paraId="6A21CF01"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LF2-Regular" w:hAnsi="Times New Roman" w:cs="Times New Roman"/>
                <w:kern w:val="0"/>
                <w:szCs w:val="21"/>
                <w:lang w:bidi="ar"/>
              </w:rPr>
              <w:t>10.1002/anie.202214966</w:t>
            </w:r>
            <w:r w:rsidRPr="00892AE3">
              <w:rPr>
                <w:rFonts w:ascii="Times New Roman" w:eastAsia="ScalaSansLF2-Regular"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LF2-Regular" w:hAnsi="Times New Roman" w:cs="Times New Roman" w:hint="eastAsia"/>
                <w:kern w:val="0"/>
                <w:szCs w:val="21"/>
                <w:lang w:bidi="ar"/>
              </w:rPr>
              <w:t>11]</w:t>
            </w:r>
          </w:p>
        </w:tc>
      </w:tr>
      <w:tr w:rsidR="000C2399" w:rsidRPr="00892AE3" w14:paraId="0B9EC4B8" w14:textId="77777777" w:rsidTr="00892AE3">
        <w:trPr>
          <w:trHeight w:val="20"/>
        </w:trPr>
        <w:tc>
          <w:tcPr>
            <w:tcW w:w="1489" w:type="dxa"/>
            <w:shd w:val="clear" w:color="auto" w:fill="FFFFFF"/>
            <w:vAlign w:val="center"/>
          </w:tcPr>
          <w:p w14:paraId="1C90110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275</w:t>
            </w:r>
          </w:p>
        </w:tc>
        <w:tc>
          <w:tcPr>
            <w:tcW w:w="1529" w:type="dxa"/>
            <w:shd w:val="clear" w:color="auto" w:fill="FFFFFF"/>
            <w:vAlign w:val="center"/>
          </w:tcPr>
          <w:p w14:paraId="5DE8DFF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380" w:type="dxa"/>
            <w:shd w:val="clear" w:color="auto" w:fill="FFFFFF"/>
            <w:vAlign w:val="center"/>
          </w:tcPr>
          <w:p w14:paraId="49E45AE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1.375</w:t>
            </w:r>
          </w:p>
        </w:tc>
        <w:tc>
          <w:tcPr>
            <w:tcW w:w="1417" w:type="dxa"/>
            <w:shd w:val="clear" w:color="auto" w:fill="FFFFFF"/>
            <w:vAlign w:val="center"/>
          </w:tcPr>
          <w:p w14:paraId="587FF96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Glucose</w:t>
            </w:r>
          </w:p>
        </w:tc>
        <w:tc>
          <w:tcPr>
            <w:tcW w:w="2843" w:type="dxa"/>
            <w:shd w:val="clear" w:color="auto" w:fill="FFFFFF"/>
            <w:vAlign w:val="center"/>
          </w:tcPr>
          <w:p w14:paraId="4090BC90"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AdvSCASF" w:hAnsi="Times New Roman" w:cs="Times New Roman"/>
                <w:kern w:val="0"/>
                <w:szCs w:val="21"/>
                <w:lang w:bidi="ar"/>
              </w:rPr>
              <w:t>10.1002/anie.202105756</w:t>
            </w:r>
            <w:r w:rsidRPr="00892AE3">
              <w:rPr>
                <w:rFonts w:ascii="Times New Roman" w:eastAsia="AdvSCASF"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AdvSCASF" w:hAnsi="Times New Roman" w:cs="Times New Roman" w:hint="eastAsia"/>
                <w:kern w:val="0"/>
                <w:szCs w:val="21"/>
                <w:lang w:bidi="ar"/>
              </w:rPr>
              <w:t>12]</w:t>
            </w:r>
          </w:p>
        </w:tc>
      </w:tr>
      <w:tr w:rsidR="000C2399" w:rsidRPr="00892AE3" w14:paraId="5A43BBD5" w14:textId="77777777" w:rsidTr="00892AE3">
        <w:trPr>
          <w:trHeight w:val="20"/>
        </w:trPr>
        <w:tc>
          <w:tcPr>
            <w:tcW w:w="1489" w:type="dxa"/>
            <w:shd w:val="clear" w:color="auto" w:fill="FFFFFF"/>
            <w:vAlign w:val="center"/>
          </w:tcPr>
          <w:p w14:paraId="64ED899A"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550</w:t>
            </w:r>
          </w:p>
        </w:tc>
        <w:tc>
          <w:tcPr>
            <w:tcW w:w="1529" w:type="dxa"/>
            <w:shd w:val="clear" w:color="auto" w:fill="FFFFFF"/>
            <w:vAlign w:val="center"/>
          </w:tcPr>
          <w:p w14:paraId="07C4D315"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380" w:type="dxa"/>
            <w:shd w:val="clear" w:color="auto" w:fill="FFFFFF"/>
            <w:vAlign w:val="center"/>
          </w:tcPr>
          <w:p w14:paraId="24E282F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5.5</w:t>
            </w:r>
          </w:p>
        </w:tc>
        <w:tc>
          <w:tcPr>
            <w:tcW w:w="1417" w:type="dxa"/>
            <w:shd w:val="clear" w:color="auto" w:fill="FFFFFF"/>
            <w:vAlign w:val="center"/>
          </w:tcPr>
          <w:p w14:paraId="20C69891"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Sac</w:t>
            </w:r>
          </w:p>
        </w:tc>
        <w:tc>
          <w:tcPr>
            <w:tcW w:w="2843" w:type="dxa"/>
            <w:shd w:val="clear" w:color="auto" w:fill="FFFFFF"/>
            <w:vAlign w:val="center"/>
          </w:tcPr>
          <w:p w14:paraId="7DD7C8EA"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10.1002/adma.202100445</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13]</w:t>
            </w:r>
          </w:p>
        </w:tc>
      </w:tr>
      <w:tr w:rsidR="000C2399" w:rsidRPr="00892AE3" w14:paraId="2F358126" w14:textId="77777777" w:rsidTr="00892AE3">
        <w:trPr>
          <w:trHeight w:val="20"/>
        </w:trPr>
        <w:tc>
          <w:tcPr>
            <w:tcW w:w="1489" w:type="dxa"/>
            <w:shd w:val="clear" w:color="auto" w:fill="FFFFFF"/>
            <w:vAlign w:val="center"/>
          </w:tcPr>
          <w:p w14:paraId="7389B9E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800</w:t>
            </w:r>
          </w:p>
        </w:tc>
        <w:tc>
          <w:tcPr>
            <w:tcW w:w="1529" w:type="dxa"/>
            <w:shd w:val="clear" w:color="auto" w:fill="FFFFFF"/>
            <w:vAlign w:val="center"/>
          </w:tcPr>
          <w:p w14:paraId="05AE1031"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380" w:type="dxa"/>
            <w:shd w:val="clear" w:color="auto" w:fill="FFFFFF"/>
            <w:vAlign w:val="center"/>
          </w:tcPr>
          <w:p w14:paraId="01AFD4B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4</w:t>
            </w:r>
          </w:p>
        </w:tc>
        <w:tc>
          <w:tcPr>
            <w:tcW w:w="1417" w:type="dxa"/>
            <w:shd w:val="clear" w:color="auto" w:fill="FFFFFF"/>
            <w:vAlign w:val="center"/>
          </w:tcPr>
          <w:p w14:paraId="517F0FD8"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Ser</w:t>
            </w:r>
          </w:p>
        </w:tc>
        <w:tc>
          <w:tcPr>
            <w:tcW w:w="2843" w:type="dxa"/>
            <w:shd w:val="clear" w:color="auto" w:fill="FFFFFF"/>
            <w:vAlign w:val="center"/>
          </w:tcPr>
          <w:p w14:paraId="128FBC3F"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10.1002/aenm.202301517</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14]</w:t>
            </w:r>
          </w:p>
        </w:tc>
      </w:tr>
      <w:tr w:rsidR="000C2399" w:rsidRPr="00892AE3" w14:paraId="61CFB3ED" w14:textId="77777777" w:rsidTr="00892AE3">
        <w:trPr>
          <w:trHeight w:val="20"/>
        </w:trPr>
        <w:tc>
          <w:tcPr>
            <w:tcW w:w="1489" w:type="dxa"/>
            <w:shd w:val="clear" w:color="auto" w:fill="FFFFFF"/>
            <w:vAlign w:val="center"/>
          </w:tcPr>
          <w:p w14:paraId="32A8547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530</w:t>
            </w:r>
          </w:p>
        </w:tc>
        <w:tc>
          <w:tcPr>
            <w:tcW w:w="1529" w:type="dxa"/>
            <w:shd w:val="clear" w:color="auto" w:fill="FFFFFF"/>
            <w:vAlign w:val="center"/>
          </w:tcPr>
          <w:p w14:paraId="7EBE166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380" w:type="dxa"/>
            <w:shd w:val="clear" w:color="auto" w:fill="FFFFFF"/>
            <w:vAlign w:val="center"/>
          </w:tcPr>
          <w:p w14:paraId="5D6E42D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5.3</w:t>
            </w:r>
          </w:p>
        </w:tc>
        <w:tc>
          <w:tcPr>
            <w:tcW w:w="1417" w:type="dxa"/>
            <w:shd w:val="clear" w:color="auto" w:fill="FFFFFF"/>
            <w:vAlign w:val="center"/>
          </w:tcPr>
          <w:p w14:paraId="6A06E84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TOCN-CL</w:t>
            </w:r>
          </w:p>
        </w:tc>
        <w:tc>
          <w:tcPr>
            <w:tcW w:w="2843" w:type="dxa"/>
            <w:shd w:val="clear" w:color="auto" w:fill="FFFFFF"/>
            <w:vAlign w:val="center"/>
          </w:tcPr>
          <w:p w14:paraId="2609D226"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10.1002/adfm.202422159</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15]</w:t>
            </w:r>
          </w:p>
        </w:tc>
      </w:tr>
      <w:tr w:rsidR="000C2399" w:rsidRPr="00892AE3" w14:paraId="3A408022" w14:textId="77777777" w:rsidTr="00892AE3">
        <w:trPr>
          <w:trHeight w:val="20"/>
        </w:trPr>
        <w:tc>
          <w:tcPr>
            <w:tcW w:w="1489" w:type="dxa"/>
            <w:shd w:val="clear" w:color="auto" w:fill="FFFFFF"/>
            <w:vAlign w:val="center"/>
          </w:tcPr>
          <w:p w14:paraId="783666C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240</w:t>
            </w:r>
          </w:p>
        </w:tc>
        <w:tc>
          <w:tcPr>
            <w:tcW w:w="1529" w:type="dxa"/>
            <w:shd w:val="clear" w:color="auto" w:fill="FFFFFF"/>
            <w:vAlign w:val="center"/>
          </w:tcPr>
          <w:p w14:paraId="5A12F9A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380" w:type="dxa"/>
            <w:shd w:val="clear" w:color="auto" w:fill="FFFFFF"/>
            <w:vAlign w:val="center"/>
          </w:tcPr>
          <w:p w14:paraId="24FF54A8"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2.4</w:t>
            </w:r>
          </w:p>
        </w:tc>
        <w:tc>
          <w:tcPr>
            <w:tcW w:w="1417" w:type="dxa"/>
            <w:shd w:val="clear" w:color="auto" w:fill="FFFFFF"/>
            <w:vAlign w:val="center"/>
          </w:tcPr>
          <w:p w14:paraId="725F693A"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OPDP</w:t>
            </w:r>
          </w:p>
        </w:tc>
        <w:tc>
          <w:tcPr>
            <w:tcW w:w="2843" w:type="dxa"/>
            <w:shd w:val="clear" w:color="auto" w:fill="FFFFFF"/>
            <w:vAlign w:val="center"/>
          </w:tcPr>
          <w:p w14:paraId="5154B8C0"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10.1002/adfm.202509652</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16]</w:t>
            </w:r>
          </w:p>
        </w:tc>
      </w:tr>
      <w:tr w:rsidR="000C2399" w:rsidRPr="00892AE3" w14:paraId="5E89AB53" w14:textId="77777777" w:rsidTr="00892AE3">
        <w:trPr>
          <w:trHeight w:val="20"/>
        </w:trPr>
        <w:tc>
          <w:tcPr>
            <w:tcW w:w="1489" w:type="dxa"/>
            <w:shd w:val="clear" w:color="auto" w:fill="FFFFFF"/>
            <w:vAlign w:val="center"/>
          </w:tcPr>
          <w:p w14:paraId="57805EC8"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500</w:t>
            </w:r>
          </w:p>
        </w:tc>
        <w:tc>
          <w:tcPr>
            <w:tcW w:w="1529" w:type="dxa"/>
            <w:shd w:val="clear" w:color="auto" w:fill="FFFFFF"/>
            <w:vAlign w:val="center"/>
          </w:tcPr>
          <w:p w14:paraId="72C114F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w:t>
            </w:r>
          </w:p>
        </w:tc>
        <w:tc>
          <w:tcPr>
            <w:tcW w:w="1380" w:type="dxa"/>
            <w:shd w:val="clear" w:color="auto" w:fill="FFFFFF"/>
            <w:vAlign w:val="center"/>
          </w:tcPr>
          <w:p w14:paraId="744E40A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4</w:t>
            </w:r>
          </w:p>
        </w:tc>
        <w:tc>
          <w:tcPr>
            <w:tcW w:w="1417" w:type="dxa"/>
            <w:shd w:val="clear" w:color="auto" w:fill="FFFFFF"/>
            <w:vAlign w:val="center"/>
          </w:tcPr>
          <w:p w14:paraId="79139A3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HDO</w:t>
            </w:r>
          </w:p>
        </w:tc>
        <w:tc>
          <w:tcPr>
            <w:tcW w:w="2843" w:type="dxa"/>
            <w:shd w:val="clear" w:color="auto" w:fill="FFFFFF"/>
            <w:vAlign w:val="center"/>
          </w:tcPr>
          <w:p w14:paraId="000F1AF4"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Regular" w:hAnsi="Times New Roman" w:cs="Times New Roman"/>
                <w:kern w:val="0"/>
                <w:szCs w:val="21"/>
                <w:lang w:bidi="ar"/>
              </w:rPr>
              <w:t>10.1002/anie.202518262</w:t>
            </w:r>
            <w:r w:rsidRPr="00892AE3">
              <w:rPr>
                <w:rFonts w:ascii="Times New Roman" w:eastAsia="ScalaSansPro-Regular"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Regular" w:hAnsi="Times New Roman" w:cs="Times New Roman" w:hint="eastAsia"/>
                <w:kern w:val="0"/>
                <w:szCs w:val="21"/>
                <w:lang w:bidi="ar"/>
              </w:rPr>
              <w:t>17]</w:t>
            </w:r>
          </w:p>
        </w:tc>
      </w:tr>
      <w:tr w:rsidR="000C2399" w:rsidRPr="00892AE3" w14:paraId="4B8417F6" w14:textId="77777777" w:rsidTr="00892AE3">
        <w:trPr>
          <w:trHeight w:val="20"/>
        </w:trPr>
        <w:tc>
          <w:tcPr>
            <w:tcW w:w="1489" w:type="dxa"/>
            <w:shd w:val="clear" w:color="auto" w:fill="FFFFFF"/>
            <w:vAlign w:val="center"/>
          </w:tcPr>
          <w:p w14:paraId="627E8131"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540</w:t>
            </w:r>
          </w:p>
        </w:tc>
        <w:tc>
          <w:tcPr>
            <w:tcW w:w="1529" w:type="dxa"/>
            <w:shd w:val="clear" w:color="auto" w:fill="FFFFFF"/>
            <w:vAlign w:val="center"/>
          </w:tcPr>
          <w:p w14:paraId="2A2F2DD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w:t>
            </w:r>
          </w:p>
        </w:tc>
        <w:tc>
          <w:tcPr>
            <w:tcW w:w="1380" w:type="dxa"/>
            <w:shd w:val="clear" w:color="auto" w:fill="FFFFFF"/>
            <w:vAlign w:val="center"/>
          </w:tcPr>
          <w:p w14:paraId="6EFD457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0.54</w:t>
            </w:r>
          </w:p>
        </w:tc>
        <w:tc>
          <w:tcPr>
            <w:tcW w:w="1417" w:type="dxa"/>
            <w:shd w:val="clear" w:color="auto" w:fill="FFFFFF"/>
            <w:vAlign w:val="center"/>
          </w:tcPr>
          <w:p w14:paraId="055E322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NMP</w:t>
            </w:r>
          </w:p>
        </w:tc>
        <w:tc>
          <w:tcPr>
            <w:tcW w:w="2843" w:type="dxa"/>
            <w:shd w:val="clear" w:color="auto" w:fill="FFFFFF"/>
            <w:vAlign w:val="center"/>
          </w:tcPr>
          <w:p w14:paraId="09B6F93C"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10.1002/aenm.202103231</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18]</w:t>
            </w:r>
          </w:p>
        </w:tc>
      </w:tr>
      <w:tr w:rsidR="000C2399" w:rsidRPr="00892AE3" w14:paraId="40B647A8" w14:textId="77777777" w:rsidTr="00892AE3">
        <w:trPr>
          <w:trHeight w:val="20"/>
        </w:trPr>
        <w:tc>
          <w:tcPr>
            <w:tcW w:w="1489" w:type="dxa"/>
            <w:shd w:val="clear" w:color="auto" w:fill="FFFFFF"/>
            <w:vAlign w:val="center"/>
          </w:tcPr>
          <w:p w14:paraId="259815C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lastRenderedPageBreak/>
              <w:t>700</w:t>
            </w:r>
          </w:p>
        </w:tc>
        <w:tc>
          <w:tcPr>
            <w:tcW w:w="1529" w:type="dxa"/>
            <w:shd w:val="clear" w:color="auto" w:fill="FFFFFF"/>
            <w:vAlign w:val="center"/>
          </w:tcPr>
          <w:p w14:paraId="568946B8"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380" w:type="dxa"/>
            <w:shd w:val="clear" w:color="auto" w:fill="FFFFFF"/>
            <w:vAlign w:val="center"/>
          </w:tcPr>
          <w:p w14:paraId="6B6AD43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3.5</w:t>
            </w:r>
          </w:p>
        </w:tc>
        <w:tc>
          <w:tcPr>
            <w:tcW w:w="1417" w:type="dxa"/>
            <w:shd w:val="clear" w:color="auto" w:fill="FFFFFF"/>
            <w:vAlign w:val="center"/>
          </w:tcPr>
          <w:p w14:paraId="7C5D085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TH</w:t>
            </w:r>
          </w:p>
        </w:tc>
        <w:tc>
          <w:tcPr>
            <w:tcW w:w="2843" w:type="dxa"/>
            <w:shd w:val="clear" w:color="auto" w:fill="FFFFFF"/>
            <w:vAlign w:val="center"/>
          </w:tcPr>
          <w:p w14:paraId="1816E0AF"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CharisSIL" w:hAnsi="Times New Roman" w:cs="Times New Roman"/>
                <w:kern w:val="0"/>
                <w:szCs w:val="21"/>
                <w:lang w:bidi="ar"/>
              </w:rPr>
              <w:t>10.1016/j.nanoen.2022.107145</w:t>
            </w:r>
            <w:r w:rsidRPr="00892AE3">
              <w:rPr>
                <w:rFonts w:ascii="Times New Roman" w:eastAsia="CharisSIL"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CharisSIL" w:hAnsi="Times New Roman" w:cs="Times New Roman" w:hint="eastAsia"/>
                <w:kern w:val="0"/>
                <w:szCs w:val="21"/>
                <w:lang w:bidi="ar"/>
              </w:rPr>
              <w:t xml:space="preserve">19]  </w:t>
            </w:r>
          </w:p>
        </w:tc>
      </w:tr>
      <w:tr w:rsidR="000C2399" w:rsidRPr="00892AE3" w14:paraId="62261364" w14:textId="77777777" w:rsidTr="00892AE3">
        <w:trPr>
          <w:trHeight w:val="20"/>
        </w:trPr>
        <w:tc>
          <w:tcPr>
            <w:tcW w:w="1489" w:type="dxa"/>
            <w:shd w:val="clear" w:color="auto" w:fill="FFFFFF"/>
            <w:vAlign w:val="center"/>
          </w:tcPr>
          <w:p w14:paraId="2BE7C6B5"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230</w:t>
            </w:r>
          </w:p>
        </w:tc>
        <w:tc>
          <w:tcPr>
            <w:tcW w:w="1529" w:type="dxa"/>
            <w:shd w:val="clear" w:color="auto" w:fill="FFFFFF"/>
            <w:vAlign w:val="center"/>
          </w:tcPr>
          <w:p w14:paraId="75BEDCF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380" w:type="dxa"/>
            <w:shd w:val="clear" w:color="auto" w:fill="FFFFFF"/>
            <w:vAlign w:val="center"/>
          </w:tcPr>
          <w:p w14:paraId="362F5641"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1.15</w:t>
            </w:r>
          </w:p>
        </w:tc>
        <w:tc>
          <w:tcPr>
            <w:tcW w:w="1417" w:type="dxa"/>
            <w:shd w:val="clear" w:color="auto" w:fill="FFFFFF"/>
            <w:vAlign w:val="center"/>
          </w:tcPr>
          <w:p w14:paraId="510CDEB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MG</w:t>
            </w:r>
          </w:p>
        </w:tc>
        <w:tc>
          <w:tcPr>
            <w:tcW w:w="2843" w:type="dxa"/>
            <w:shd w:val="clear" w:color="auto" w:fill="FFFFFF"/>
            <w:vAlign w:val="center"/>
          </w:tcPr>
          <w:p w14:paraId="75CA04C6"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10.1002/smll.202509633</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20]</w:t>
            </w:r>
          </w:p>
        </w:tc>
      </w:tr>
      <w:tr w:rsidR="000C2399" w:rsidRPr="00892AE3" w14:paraId="0036DE42" w14:textId="77777777" w:rsidTr="00892AE3">
        <w:trPr>
          <w:trHeight w:val="20"/>
        </w:trPr>
        <w:tc>
          <w:tcPr>
            <w:tcW w:w="1489" w:type="dxa"/>
            <w:shd w:val="clear" w:color="auto" w:fill="FFFFFF"/>
            <w:vAlign w:val="center"/>
          </w:tcPr>
          <w:p w14:paraId="69C2E015"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346</w:t>
            </w:r>
          </w:p>
        </w:tc>
        <w:tc>
          <w:tcPr>
            <w:tcW w:w="1529" w:type="dxa"/>
            <w:shd w:val="clear" w:color="auto" w:fill="FFFFFF"/>
            <w:vAlign w:val="center"/>
          </w:tcPr>
          <w:p w14:paraId="741B700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w:t>
            </w:r>
          </w:p>
        </w:tc>
        <w:tc>
          <w:tcPr>
            <w:tcW w:w="1380" w:type="dxa"/>
            <w:shd w:val="clear" w:color="auto" w:fill="FFFFFF"/>
            <w:vAlign w:val="center"/>
          </w:tcPr>
          <w:p w14:paraId="5BA593A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2.768</w:t>
            </w:r>
          </w:p>
        </w:tc>
        <w:tc>
          <w:tcPr>
            <w:tcW w:w="1417" w:type="dxa"/>
            <w:shd w:val="clear" w:color="auto" w:fill="FFFFFF"/>
            <w:vAlign w:val="center"/>
          </w:tcPr>
          <w:p w14:paraId="7A1F840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EZN</w:t>
            </w:r>
          </w:p>
        </w:tc>
        <w:tc>
          <w:tcPr>
            <w:tcW w:w="2843" w:type="dxa"/>
            <w:shd w:val="clear" w:color="auto" w:fill="FFFFFF"/>
            <w:vAlign w:val="center"/>
          </w:tcPr>
          <w:p w14:paraId="2617F5A1"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CharisSIL" w:hAnsi="Times New Roman" w:cs="Times New Roman"/>
                <w:kern w:val="0"/>
                <w:szCs w:val="21"/>
                <w:lang w:bidi="ar"/>
              </w:rPr>
              <w:t>10.1016/j.est.2025.118388</w:t>
            </w:r>
            <w:r w:rsidRPr="00892AE3">
              <w:rPr>
                <w:rFonts w:ascii="Times New Roman" w:eastAsia="CharisSIL"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CharisSIL" w:hAnsi="Times New Roman" w:cs="Times New Roman" w:hint="eastAsia"/>
                <w:kern w:val="0"/>
                <w:szCs w:val="21"/>
                <w:lang w:bidi="ar"/>
              </w:rPr>
              <w:t>21]</w:t>
            </w:r>
          </w:p>
        </w:tc>
      </w:tr>
      <w:tr w:rsidR="000C2399" w:rsidRPr="00892AE3" w14:paraId="4DD2BE73" w14:textId="77777777" w:rsidTr="00892AE3">
        <w:trPr>
          <w:trHeight w:val="20"/>
        </w:trPr>
        <w:tc>
          <w:tcPr>
            <w:tcW w:w="1489" w:type="dxa"/>
            <w:shd w:val="clear" w:color="auto" w:fill="FFFFFF"/>
            <w:vAlign w:val="center"/>
          </w:tcPr>
          <w:p w14:paraId="53F9495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800</w:t>
            </w:r>
          </w:p>
        </w:tc>
        <w:tc>
          <w:tcPr>
            <w:tcW w:w="1529" w:type="dxa"/>
            <w:shd w:val="clear" w:color="auto" w:fill="FFFFFF"/>
            <w:vAlign w:val="center"/>
          </w:tcPr>
          <w:p w14:paraId="1D806841"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w:t>
            </w:r>
          </w:p>
        </w:tc>
        <w:tc>
          <w:tcPr>
            <w:tcW w:w="1380" w:type="dxa"/>
            <w:shd w:val="clear" w:color="auto" w:fill="FFFFFF"/>
            <w:vAlign w:val="center"/>
          </w:tcPr>
          <w:p w14:paraId="622C43F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0.8</w:t>
            </w:r>
          </w:p>
        </w:tc>
        <w:tc>
          <w:tcPr>
            <w:tcW w:w="1417" w:type="dxa"/>
            <w:shd w:val="clear" w:color="auto" w:fill="FFFFFF"/>
            <w:vAlign w:val="center"/>
          </w:tcPr>
          <w:p w14:paraId="5737C64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CMCS</w:t>
            </w:r>
          </w:p>
        </w:tc>
        <w:tc>
          <w:tcPr>
            <w:tcW w:w="2843" w:type="dxa"/>
            <w:shd w:val="clear" w:color="auto" w:fill="FFFFFF"/>
            <w:vAlign w:val="center"/>
          </w:tcPr>
          <w:p w14:paraId="11BE5515"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CharisSIL" w:hAnsi="Times New Roman" w:cs="Times New Roman"/>
                <w:kern w:val="0"/>
                <w:szCs w:val="21"/>
                <w:lang w:bidi="ar"/>
              </w:rPr>
              <w:t>10.1016/j.jcis.2025.138847</w:t>
            </w:r>
            <w:r w:rsidRPr="00892AE3">
              <w:rPr>
                <w:rFonts w:ascii="Times New Roman" w:eastAsia="CharisSIL"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CharisSIL" w:hAnsi="Times New Roman" w:cs="Times New Roman" w:hint="eastAsia"/>
                <w:kern w:val="0"/>
                <w:szCs w:val="21"/>
                <w:lang w:bidi="ar"/>
              </w:rPr>
              <w:t>22]</w:t>
            </w:r>
          </w:p>
        </w:tc>
      </w:tr>
      <w:tr w:rsidR="000C2399" w:rsidRPr="00892AE3" w14:paraId="1357ADD8" w14:textId="77777777" w:rsidTr="00892AE3">
        <w:trPr>
          <w:trHeight w:val="20"/>
        </w:trPr>
        <w:tc>
          <w:tcPr>
            <w:tcW w:w="1489" w:type="dxa"/>
            <w:shd w:val="clear" w:color="auto" w:fill="FFFFFF"/>
            <w:vAlign w:val="center"/>
          </w:tcPr>
          <w:p w14:paraId="28E127F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250</w:t>
            </w:r>
          </w:p>
        </w:tc>
        <w:tc>
          <w:tcPr>
            <w:tcW w:w="1529" w:type="dxa"/>
            <w:shd w:val="clear" w:color="auto" w:fill="FFFFFF"/>
            <w:vAlign w:val="center"/>
          </w:tcPr>
          <w:p w14:paraId="60C798B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w:t>
            </w:r>
          </w:p>
        </w:tc>
        <w:tc>
          <w:tcPr>
            <w:tcW w:w="1380" w:type="dxa"/>
            <w:shd w:val="clear" w:color="auto" w:fill="FFFFFF"/>
            <w:vAlign w:val="center"/>
          </w:tcPr>
          <w:p w14:paraId="643B21E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0.75</w:t>
            </w:r>
          </w:p>
        </w:tc>
        <w:tc>
          <w:tcPr>
            <w:tcW w:w="1417" w:type="dxa"/>
            <w:shd w:val="clear" w:color="auto" w:fill="FFFFFF"/>
            <w:vAlign w:val="center"/>
          </w:tcPr>
          <w:p w14:paraId="4B8FE724" w14:textId="77777777" w:rsidR="000C2399" w:rsidRPr="00892AE3" w:rsidRDefault="00753684" w:rsidP="00892AE3">
            <w:pPr>
              <w:jc w:val="center"/>
              <w:rPr>
                <w:rFonts w:ascii="Times New Roman" w:hAnsi="Times New Roman" w:cs="Times New Roman"/>
                <w:szCs w:val="21"/>
              </w:rPr>
            </w:pPr>
            <w:proofErr w:type="spellStart"/>
            <w:r w:rsidRPr="00892AE3">
              <w:rPr>
                <w:rFonts w:ascii="Times New Roman" w:hAnsi="Times New Roman" w:cs="Times New Roman"/>
                <w:szCs w:val="21"/>
              </w:rPr>
              <w:t>CuGly</w:t>
            </w:r>
            <w:proofErr w:type="spellEnd"/>
          </w:p>
        </w:tc>
        <w:tc>
          <w:tcPr>
            <w:tcW w:w="2843" w:type="dxa"/>
            <w:shd w:val="clear" w:color="auto" w:fill="FFFFFF"/>
            <w:vAlign w:val="center"/>
          </w:tcPr>
          <w:p w14:paraId="6AA33C92"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CharisSIL" w:hAnsi="Times New Roman" w:cs="Times New Roman"/>
                <w:kern w:val="0"/>
                <w:szCs w:val="21"/>
                <w:lang w:bidi="ar"/>
              </w:rPr>
              <w:t>10.1016/j.cej.2025.167617</w:t>
            </w:r>
            <w:r w:rsidRPr="00892AE3">
              <w:rPr>
                <w:rFonts w:ascii="Times New Roman" w:eastAsia="CharisSIL"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CharisSIL" w:hAnsi="Times New Roman" w:cs="Times New Roman" w:hint="eastAsia"/>
                <w:kern w:val="0"/>
                <w:szCs w:val="21"/>
                <w:lang w:bidi="ar"/>
              </w:rPr>
              <w:t>23]</w:t>
            </w:r>
          </w:p>
        </w:tc>
      </w:tr>
      <w:tr w:rsidR="000C2399" w:rsidRPr="00892AE3" w14:paraId="0E016B9E" w14:textId="77777777" w:rsidTr="00892AE3">
        <w:trPr>
          <w:trHeight w:val="20"/>
        </w:trPr>
        <w:tc>
          <w:tcPr>
            <w:tcW w:w="1489" w:type="dxa"/>
            <w:shd w:val="clear" w:color="auto" w:fill="FFFFFF"/>
            <w:vAlign w:val="center"/>
          </w:tcPr>
          <w:p w14:paraId="25B4F42A"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320</w:t>
            </w:r>
          </w:p>
        </w:tc>
        <w:tc>
          <w:tcPr>
            <w:tcW w:w="1529" w:type="dxa"/>
            <w:shd w:val="clear" w:color="auto" w:fill="FFFFFF"/>
            <w:vAlign w:val="center"/>
          </w:tcPr>
          <w:p w14:paraId="2A07A7A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380" w:type="dxa"/>
            <w:shd w:val="clear" w:color="auto" w:fill="FFFFFF"/>
            <w:vAlign w:val="center"/>
          </w:tcPr>
          <w:p w14:paraId="02B88F7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3.2</w:t>
            </w:r>
          </w:p>
        </w:tc>
        <w:tc>
          <w:tcPr>
            <w:tcW w:w="1417" w:type="dxa"/>
            <w:shd w:val="clear" w:color="auto" w:fill="FFFFFF"/>
            <w:vAlign w:val="center"/>
          </w:tcPr>
          <w:p w14:paraId="7D636B4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PD</w:t>
            </w:r>
          </w:p>
        </w:tc>
        <w:tc>
          <w:tcPr>
            <w:tcW w:w="2843" w:type="dxa"/>
            <w:shd w:val="clear" w:color="auto" w:fill="FFFFFF"/>
            <w:vAlign w:val="center"/>
          </w:tcPr>
          <w:p w14:paraId="6A16F6A8"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AdvOT9b12cd41" w:hAnsi="Times New Roman" w:cs="Times New Roman"/>
                <w:kern w:val="0"/>
                <w:szCs w:val="21"/>
                <w:lang w:bidi="ar"/>
              </w:rPr>
              <w:t>10.1039/d5ta04776e</w:t>
            </w:r>
            <w:r w:rsidRPr="00892AE3">
              <w:rPr>
                <w:rFonts w:ascii="Times New Roman" w:eastAsia="AdvOT9b12cd41"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AdvOT9b12cd41" w:hAnsi="Times New Roman" w:cs="Times New Roman" w:hint="eastAsia"/>
                <w:kern w:val="0"/>
                <w:szCs w:val="21"/>
                <w:lang w:bidi="ar"/>
              </w:rPr>
              <w:t>24]</w:t>
            </w:r>
          </w:p>
        </w:tc>
      </w:tr>
      <w:tr w:rsidR="000C2399" w:rsidRPr="00892AE3" w14:paraId="0D147FCC" w14:textId="77777777" w:rsidTr="00892AE3">
        <w:trPr>
          <w:trHeight w:val="20"/>
        </w:trPr>
        <w:tc>
          <w:tcPr>
            <w:tcW w:w="1489" w:type="dxa"/>
            <w:shd w:val="clear" w:color="auto" w:fill="FFFFFF"/>
            <w:vAlign w:val="center"/>
          </w:tcPr>
          <w:p w14:paraId="678A450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880</w:t>
            </w:r>
          </w:p>
        </w:tc>
        <w:tc>
          <w:tcPr>
            <w:tcW w:w="1529" w:type="dxa"/>
            <w:shd w:val="clear" w:color="auto" w:fill="FFFFFF"/>
            <w:vAlign w:val="center"/>
          </w:tcPr>
          <w:p w14:paraId="3E879D2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w:t>
            </w:r>
          </w:p>
        </w:tc>
        <w:tc>
          <w:tcPr>
            <w:tcW w:w="1380" w:type="dxa"/>
            <w:shd w:val="clear" w:color="auto" w:fill="FFFFFF"/>
            <w:vAlign w:val="center"/>
          </w:tcPr>
          <w:p w14:paraId="73A39E3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0.88</w:t>
            </w:r>
          </w:p>
        </w:tc>
        <w:tc>
          <w:tcPr>
            <w:tcW w:w="1417" w:type="dxa"/>
            <w:shd w:val="clear" w:color="auto" w:fill="FFFFFF"/>
            <w:vAlign w:val="center"/>
          </w:tcPr>
          <w:p w14:paraId="66F918F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Cre</w:t>
            </w:r>
          </w:p>
        </w:tc>
        <w:tc>
          <w:tcPr>
            <w:tcW w:w="2843" w:type="dxa"/>
            <w:shd w:val="clear" w:color="auto" w:fill="FFFFFF"/>
            <w:vAlign w:val="center"/>
          </w:tcPr>
          <w:p w14:paraId="7D3FA11B"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10.1002/smtd.202500188</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25]</w:t>
            </w:r>
          </w:p>
        </w:tc>
      </w:tr>
      <w:tr w:rsidR="000C2399" w:rsidRPr="00892AE3" w14:paraId="11BD868B" w14:textId="77777777" w:rsidTr="00892AE3">
        <w:trPr>
          <w:trHeight w:val="20"/>
        </w:trPr>
        <w:tc>
          <w:tcPr>
            <w:tcW w:w="1489" w:type="dxa"/>
            <w:shd w:val="clear" w:color="auto" w:fill="FFFFFF"/>
            <w:vAlign w:val="center"/>
          </w:tcPr>
          <w:p w14:paraId="667779A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675</w:t>
            </w:r>
          </w:p>
        </w:tc>
        <w:tc>
          <w:tcPr>
            <w:tcW w:w="1529" w:type="dxa"/>
            <w:shd w:val="clear" w:color="auto" w:fill="FFFFFF"/>
            <w:vAlign w:val="center"/>
          </w:tcPr>
          <w:p w14:paraId="108376A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380" w:type="dxa"/>
            <w:shd w:val="clear" w:color="auto" w:fill="FFFFFF"/>
            <w:vAlign w:val="center"/>
          </w:tcPr>
          <w:p w14:paraId="1E6CB7B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6.75</w:t>
            </w:r>
          </w:p>
        </w:tc>
        <w:tc>
          <w:tcPr>
            <w:tcW w:w="1417" w:type="dxa"/>
            <w:shd w:val="clear" w:color="auto" w:fill="FFFFFF"/>
            <w:vAlign w:val="center"/>
          </w:tcPr>
          <w:p w14:paraId="4BD0E4C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SUSA</w:t>
            </w:r>
          </w:p>
        </w:tc>
        <w:tc>
          <w:tcPr>
            <w:tcW w:w="2843" w:type="dxa"/>
            <w:shd w:val="clear" w:color="auto" w:fill="FFFFFF"/>
            <w:vAlign w:val="center"/>
          </w:tcPr>
          <w:p w14:paraId="27E4DB4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This work</w:t>
            </w:r>
          </w:p>
        </w:tc>
      </w:tr>
      <w:tr w:rsidR="000C2399" w:rsidRPr="00892AE3" w14:paraId="66981F5E" w14:textId="77777777" w:rsidTr="00892AE3">
        <w:trPr>
          <w:trHeight w:val="20"/>
        </w:trPr>
        <w:tc>
          <w:tcPr>
            <w:tcW w:w="1489" w:type="dxa"/>
            <w:shd w:val="clear" w:color="auto" w:fill="FFFFFF"/>
            <w:vAlign w:val="center"/>
          </w:tcPr>
          <w:p w14:paraId="2EDF421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1660</w:t>
            </w:r>
          </w:p>
        </w:tc>
        <w:tc>
          <w:tcPr>
            <w:tcW w:w="1529" w:type="dxa"/>
            <w:shd w:val="clear" w:color="auto" w:fill="FFFFFF"/>
            <w:vAlign w:val="center"/>
          </w:tcPr>
          <w:p w14:paraId="45F80E2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380" w:type="dxa"/>
            <w:shd w:val="clear" w:color="auto" w:fill="FFFFFF"/>
            <w:vAlign w:val="center"/>
          </w:tcPr>
          <w:p w14:paraId="5844C4AA"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8.3</w:t>
            </w:r>
          </w:p>
        </w:tc>
        <w:tc>
          <w:tcPr>
            <w:tcW w:w="1417" w:type="dxa"/>
            <w:shd w:val="clear" w:color="auto" w:fill="FFFFFF"/>
            <w:vAlign w:val="center"/>
          </w:tcPr>
          <w:p w14:paraId="6139924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SUSA</w:t>
            </w:r>
          </w:p>
        </w:tc>
        <w:tc>
          <w:tcPr>
            <w:tcW w:w="2843" w:type="dxa"/>
            <w:shd w:val="clear" w:color="auto" w:fill="FFFFFF"/>
            <w:vAlign w:val="center"/>
          </w:tcPr>
          <w:p w14:paraId="78AED7C2"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This work</w:t>
            </w:r>
          </w:p>
        </w:tc>
      </w:tr>
    </w:tbl>
    <w:p w14:paraId="4CA707E4" w14:textId="77777777" w:rsidR="00892AE3" w:rsidRDefault="00892AE3" w:rsidP="00533892">
      <w:pPr>
        <w:spacing w:before="120" w:after="120"/>
        <w:rPr>
          <w:rFonts w:ascii="Times New Roman" w:hAnsi="Times New Roman" w:cs="Times New Roman"/>
          <w:b/>
          <w:bCs/>
          <w:sz w:val="24"/>
        </w:rPr>
      </w:pPr>
    </w:p>
    <w:p w14:paraId="74F83695" w14:textId="767048D5" w:rsidR="000C2399" w:rsidRDefault="00753684" w:rsidP="00533892">
      <w:pPr>
        <w:spacing w:before="120" w:after="120"/>
        <w:rPr>
          <w:rFonts w:ascii="Times New Roman" w:hAnsi="Times New Roman" w:cs="Times New Roman"/>
          <w:sz w:val="24"/>
        </w:rPr>
      </w:pPr>
      <w:r>
        <w:rPr>
          <w:rFonts w:ascii="Times New Roman" w:hAnsi="Times New Roman" w:cs="Times New Roman"/>
          <w:b/>
          <w:bCs/>
          <w:sz w:val="24"/>
        </w:rPr>
        <w:t>Table S3</w:t>
      </w:r>
      <w:r>
        <w:rPr>
          <w:rFonts w:ascii="Times New Roman" w:hAnsi="Times New Roman" w:cs="Times New Roman"/>
          <w:sz w:val="24"/>
        </w:rPr>
        <w:t xml:space="preserve"> The comparative analysis of Zn||Zn cells performance (DOD) in this work and other works</w:t>
      </w:r>
    </w:p>
    <w:tbl>
      <w:tblPr>
        <w:tblStyle w:val="ab"/>
        <w:tblW w:w="8600" w:type="dxa"/>
        <w:tblLayout w:type="fixed"/>
        <w:tblLook w:val="04A0" w:firstRow="1" w:lastRow="0" w:firstColumn="1" w:lastColumn="0" w:noHBand="0" w:noVBand="1"/>
      </w:tblPr>
      <w:tblGrid>
        <w:gridCol w:w="1290"/>
        <w:gridCol w:w="1304"/>
        <w:gridCol w:w="1228"/>
        <w:gridCol w:w="1235"/>
        <w:gridCol w:w="3543"/>
      </w:tblGrid>
      <w:tr w:rsidR="000C2399" w:rsidRPr="00892AE3" w14:paraId="37E638A7" w14:textId="77777777" w:rsidTr="00892AE3">
        <w:trPr>
          <w:trHeight w:val="397"/>
        </w:trPr>
        <w:tc>
          <w:tcPr>
            <w:tcW w:w="1290" w:type="dxa"/>
            <w:tcBorders>
              <w:top w:val="single" w:sz="8" w:space="0" w:color="000000"/>
              <w:left w:val="nil"/>
              <w:bottom w:val="single" w:sz="8" w:space="0" w:color="000000"/>
              <w:right w:val="nil"/>
            </w:tcBorders>
            <w:shd w:val="clear" w:color="auto" w:fill="FFFFFF"/>
            <w:vAlign w:val="center"/>
          </w:tcPr>
          <w:p w14:paraId="7152DF5F"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Cycle time (h)</w:t>
            </w:r>
          </w:p>
        </w:tc>
        <w:tc>
          <w:tcPr>
            <w:tcW w:w="1304" w:type="dxa"/>
            <w:tcBorders>
              <w:top w:val="single" w:sz="8" w:space="0" w:color="000000"/>
              <w:left w:val="nil"/>
              <w:bottom w:val="single" w:sz="8" w:space="0" w:color="000000"/>
              <w:right w:val="nil"/>
            </w:tcBorders>
            <w:shd w:val="clear" w:color="auto" w:fill="FFFFFF"/>
            <w:vAlign w:val="center"/>
          </w:tcPr>
          <w:p w14:paraId="1350396C"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Current density</w:t>
            </w:r>
          </w:p>
          <w:p w14:paraId="07B7AC18"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(mA cm</w:t>
            </w:r>
            <w:r w:rsidRPr="00892AE3">
              <w:rPr>
                <w:rFonts w:ascii="Times New Roman" w:hAnsi="Times New Roman" w:cs="Times New Roman"/>
                <w:b/>
                <w:bCs/>
                <w:color w:val="000000"/>
                <w:szCs w:val="21"/>
                <w:vertAlign w:val="superscript"/>
              </w:rPr>
              <w:t>-2</w:t>
            </w:r>
            <w:r w:rsidRPr="00892AE3">
              <w:rPr>
                <w:rFonts w:ascii="Times New Roman" w:hAnsi="Times New Roman" w:cs="Times New Roman"/>
                <w:b/>
                <w:bCs/>
                <w:color w:val="000000"/>
                <w:szCs w:val="21"/>
              </w:rPr>
              <w:t>)</w:t>
            </w:r>
          </w:p>
        </w:tc>
        <w:tc>
          <w:tcPr>
            <w:tcW w:w="1228" w:type="dxa"/>
            <w:tcBorders>
              <w:top w:val="single" w:sz="8" w:space="0" w:color="000000"/>
              <w:left w:val="nil"/>
              <w:bottom w:val="single" w:sz="8" w:space="0" w:color="000000"/>
              <w:right w:val="nil"/>
            </w:tcBorders>
            <w:shd w:val="clear" w:color="auto" w:fill="FFFFFF"/>
            <w:vAlign w:val="center"/>
          </w:tcPr>
          <w:p w14:paraId="2C51CF9D"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DOD (%)</w:t>
            </w:r>
          </w:p>
        </w:tc>
        <w:tc>
          <w:tcPr>
            <w:tcW w:w="1235" w:type="dxa"/>
            <w:tcBorders>
              <w:top w:val="single" w:sz="8" w:space="0" w:color="000000"/>
              <w:left w:val="nil"/>
              <w:bottom w:val="single" w:sz="8" w:space="0" w:color="000000"/>
              <w:right w:val="nil"/>
            </w:tcBorders>
            <w:shd w:val="clear" w:color="auto" w:fill="FFFFFF"/>
            <w:vAlign w:val="center"/>
          </w:tcPr>
          <w:p w14:paraId="59968B08"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Strategies</w:t>
            </w:r>
          </w:p>
        </w:tc>
        <w:tc>
          <w:tcPr>
            <w:tcW w:w="3543" w:type="dxa"/>
            <w:tcBorders>
              <w:top w:val="single" w:sz="8" w:space="0" w:color="000000"/>
              <w:left w:val="nil"/>
              <w:bottom w:val="single" w:sz="8" w:space="0" w:color="000000"/>
              <w:right w:val="nil"/>
            </w:tcBorders>
            <w:shd w:val="clear" w:color="auto" w:fill="FFFFFF"/>
            <w:vAlign w:val="center"/>
          </w:tcPr>
          <w:p w14:paraId="7F60994E" w14:textId="77777777" w:rsidR="000C2399" w:rsidRPr="00892AE3" w:rsidRDefault="00753684" w:rsidP="00892AE3">
            <w:pPr>
              <w:jc w:val="center"/>
              <w:rPr>
                <w:rFonts w:ascii="Times New Roman" w:hAnsi="Times New Roman" w:cs="Times New Roman"/>
                <w:b/>
                <w:bCs/>
                <w:color w:val="000000"/>
                <w:szCs w:val="21"/>
              </w:rPr>
            </w:pPr>
            <w:r w:rsidRPr="00892AE3">
              <w:rPr>
                <w:rFonts w:ascii="Times New Roman" w:hAnsi="Times New Roman" w:cs="Times New Roman"/>
                <w:b/>
                <w:bCs/>
                <w:color w:val="000000"/>
                <w:szCs w:val="21"/>
              </w:rPr>
              <w:t>Ref.</w:t>
            </w:r>
          </w:p>
        </w:tc>
      </w:tr>
      <w:tr w:rsidR="000C2399" w:rsidRPr="00892AE3" w14:paraId="68F71B0F" w14:textId="77777777" w:rsidTr="00892AE3">
        <w:trPr>
          <w:trHeight w:val="397"/>
        </w:trPr>
        <w:tc>
          <w:tcPr>
            <w:tcW w:w="1290" w:type="dxa"/>
            <w:tcBorders>
              <w:top w:val="single" w:sz="8" w:space="0" w:color="000000"/>
              <w:left w:val="nil"/>
              <w:bottom w:val="nil"/>
              <w:right w:val="nil"/>
            </w:tcBorders>
            <w:shd w:val="clear" w:color="auto" w:fill="FFFFFF"/>
            <w:vAlign w:val="center"/>
          </w:tcPr>
          <w:p w14:paraId="1618272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160</w:t>
            </w:r>
          </w:p>
        </w:tc>
        <w:tc>
          <w:tcPr>
            <w:tcW w:w="1304" w:type="dxa"/>
            <w:tcBorders>
              <w:top w:val="single" w:sz="8" w:space="0" w:color="000000"/>
              <w:left w:val="nil"/>
              <w:bottom w:val="nil"/>
              <w:right w:val="nil"/>
            </w:tcBorders>
            <w:shd w:val="clear" w:color="auto" w:fill="FFFFFF"/>
            <w:vAlign w:val="center"/>
          </w:tcPr>
          <w:p w14:paraId="37A1C2E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228" w:type="dxa"/>
            <w:tcBorders>
              <w:top w:val="single" w:sz="8" w:space="0" w:color="000000"/>
              <w:left w:val="nil"/>
              <w:bottom w:val="nil"/>
              <w:right w:val="nil"/>
            </w:tcBorders>
            <w:shd w:val="clear" w:color="auto" w:fill="FFFFFF"/>
            <w:vAlign w:val="center"/>
          </w:tcPr>
          <w:p w14:paraId="53BEEE4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6</w:t>
            </w:r>
          </w:p>
        </w:tc>
        <w:tc>
          <w:tcPr>
            <w:tcW w:w="1235" w:type="dxa"/>
            <w:vMerge w:val="restart"/>
            <w:tcBorders>
              <w:top w:val="single" w:sz="8" w:space="0" w:color="000000"/>
              <w:left w:val="nil"/>
              <w:bottom w:val="nil"/>
              <w:right w:val="nil"/>
            </w:tcBorders>
            <w:shd w:val="clear" w:color="auto" w:fill="FFFFFF"/>
            <w:vAlign w:val="center"/>
          </w:tcPr>
          <w:p w14:paraId="5EC9371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α-CD</w:t>
            </w:r>
          </w:p>
        </w:tc>
        <w:tc>
          <w:tcPr>
            <w:tcW w:w="3543" w:type="dxa"/>
            <w:vMerge w:val="restart"/>
            <w:tcBorders>
              <w:top w:val="single" w:sz="8" w:space="0" w:color="000000"/>
              <w:left w:val="nil"/>
              <w:bottom w:val="nil"/>
              <w:right w:val="nil"/>
            </w:tcBorders>
            <w:shd w:val="clear" w:color="auto" w:fill="FFFFFF"/>
            <w:vAlign w:val="center"/>
          </w:tcPr>
          <w:p w14:paraId="68539139"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AdvOT46dcae81" w:hAnsi="Times New Roman" w:cs="Times New Roman"/>
                <w:kern w:val="0"/>
                <w:szCs w:val="21"/>
                <w:lang w:bidi="ar"/>
              </w:rPr>
              <w:t>10.1021/jacs.2c00551</w:t>
            </w:r>
            <w:r w:rsidRPr="00892AE3">
              <w:rPr>
                <w:rFonts w:ascii="Times New Roman" w:eastAsia="AdvOT46dcae81"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AdvOT46dcae81" w:hAnsi="Times New Roman" w:cs="Times New Roman" w:hint="eastAsia"/>
                <w:kern w:val="0"/>
                <w:szCs w:val="21"/>
                <w:lang w:bidi="ar"/>
              </w:rPr>
              <w:t>26]</w:t>
            </w:r>
          </w:p>
        </w:tc>
      </w:tr>
      <w:tr w:rsidR="000C2399" w:rsidRPr="00892AE3" w14:paraId="673CD288" w14:textId="77777777" w:rsidTr="00892AE3">
        <w:trPr>
          <w:trHeight w:val="397"/>
        </w:trPr>
        <w:tc>
          <w:tcPr>
            <w:tcW w:w="1290" w:type="dxa"/>
            <w:tcBorders>
              <w:top w:val="nil"/>
              <w:left w:val="nil"/>
              <w:bottom w:val="nil"/>
              <w:right w:val="nil"/>
            </w:tcBorders>
            <w:shd w:val="clear" w:color="auto" w:fill="FFFFFF"/>
            <w:vAlign w:val="center"/>
          </w:tcPr>
          <w:p w14:paraId="6AD6091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200</w:t>
            </w:r>
          </w:p>
        </w:tc>
        <w:tc>
          <w:tcPr>
            <w:tcW w:w="1304" w:type="dxa"/>
            <w:tcBorders>
              <w:top w:val="nil"/>
              <w:left w:val="nil"/>
              <w:bottom w:val="nil"/>
              <w:right w:val="nil"/>
            </w:tcBorders>
            <w:shd w:val="clear" w:color="auto" w:fill="FFFFFF"/>
            <w:vAlign w:val="center"/>
          </w:tcPr>
          <w:p w14:paraId="302837E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228" w:type="dxa"/>
            <w:tcBorders>
              <w:top w:val="nil"/>
              <w:left w:val="nil"/>
              <w:bottom w:val="nil"/>
              <w:right w:val="nil"/>
            </w:tcBorders>
            <w:shd w:val="clear" w:color="auto" w:fill="FFFFFF"/>
            <w:vAlign w:val="center"/>
          </w:tcPr>
          <w:p w14:paraId="11F5BD1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30</w:t>
            </w:r>
          </w:p>
        </w:tc>
        <w:tc>
          <w:tcPr>
            <w:tcW w:w="1235" w:type="dxa"/>
            <w:vMerge/>
            <w:tcBorders>
              <w:top w:val="nil"/>
              <w:left w:val="nil"/>
              <w:bottom w:val="nil"/>
              <w:right w:val="nil"/>
            </w:tcBorders>
            <w:shd w:val="clear" w:color="auto" w:fill="FFFFFF"/>
            <w:vAlign w:val="center"/>
          </w:tcPr>
          <w:p w14:paraId="1B63CDDC" w14:textId="77777777" w:rsidR="000C2399" w:rsidRPr="00892AE3" w:rsidRDefault="000C2399" w:rsidP="00892AE3">
            <w:pPr>
              <w:jc w:val="center"/>
              <w:rPr>
                <w:rFonts w:ascii="Times New Roman" w:hAnsi="Times New Roman" w:cs="Times New Roman"/>
                <w:szCs w:val="21"/>
              </w:rPr>
            </w:pPr>
          </w:p>
        </w:tc>
        <w:tc>
          <w:tcPr>
            <w:tcW w:w="3543" w:type="dxa"/>
            <w:vMerge/>
            <w:tcBorders>
              <w:top w:val="nil"/>
              <w:left w:val="nil"/>
              <w:bottom w:val="nil"/>
              <w:right w:val="nil"/>
            </w:tcBorders>
            <w:shd w:val="clear" w:color="auto" w:fill="FFFFFF"/>
            <w:vAlign w:val="center"/>
          </w:tcPr>
          <w:p w14:paraId="5EDD34BB" w14:textId="77777777" w:rsidR="000C2399" w:rsidRPr="00892AE3" w:rsidRDefault="000C2399" w:rsidP="00892AE3">
            <w:pPr>
              <w:jc w:val="center"/>
              <w:rPr>
                <w:rFonts w:ascii="Times New Roman" w:hAnsi="Times New Roman" w:cs="Times New Roman"/>
                <w:szCs w:val="21"/>
              </w:rPr>
            </w:pPr>
          </w:p>
        </w:tc>
      </w:tr>
      <w:tr w:rsidR="000C2399" w:rsidRPr="00892AE3" w14:paraId="54A8F079" w14:textId="77777777" w:rsidTr="00892AE3">
        <w:trPr>
          <w:trHeight w:val="397"/>
        </w:trPr>
        <w:tc>
          <w:tcPr>
            <w:tcW w:w="1290" w:type="dxa"/>
            <w:tcBorders>
              <w:top w:val="nil"/>
              <w:left w:val="nil"/>
              <w:bottom w:val="nil"/>
              <w:right w:val="nil"/>
            </w:tcBorders>
            <w:shd w:val="clear" w:color="auto" w:fill="FFFFFF"/>
            <w:vAlign w:val="center"/>
          </w:tcPr>
          <w:p w14:paraId="23659B2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135</w:t>
            </w:r>
          </w:p>
        </w:tc>
        <w:tc>
          <w:tcPr>
            <w:tcW w:w="1304" w:type="dxa"/>
            <w:tcBorders>
              <w:top w:val="nil"/>
              <w:left w:val="nil"/>
              <w:bottom w:val="nil"/>
              <w:right w:val="nil"/>
            </w:tcBorders>
            <w:shd w:val="clear" w:color="auto" w:fill="FFFFFF"/>
            <w:vAlign w:val="center"/>
          </w:tcPr>
          <w:p w14:paraId="0BFCEDC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8</w:t>
            </w:r>
          </w:p>
        </w:tc>
        <w:tc>
          <w:tcPr>
            <w:tcW w:w="1228" w:type="dxa"/>
            <w:tcBorders>
              <w:top w:val="nil"/>
              <w:left w:val="nil"/>
              <w:bottom w:val="nil"/>
              <w:right w:val="nil"/>
            </w:tcBorders>
            <w:shd w:val="clear" w:color="auto" w:fill="FFFFFF"/>
            <w:vAlign w:val="center"/>
          </w:tcPr>
          <w:p w14:paraId="013B766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45.54</w:t>
            </w:r>
          </w:p>
        </w:tc>
        <w:tc>
          <w:tcPr>
            <w:tcW w:w="1235" w:type="dxa"/>
            <w:tcBorders>
              <w:top w:val="nil"/>
              <w:left w:val="nil"/>
              <w:bottom w:val="nil"/>
              <w:right w:val="nil"/>
            </w:tcBorders>
            <w:shd w:val="clear" w:color="auto" w:fill="FFFFFF"/>
            <w:vAlign w:val="center"/>
          </w:tcPr>
          <w:p w14:paraId="613A890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DM</w:t>
            </w:r>
          </w:p>
        </w:tc>
        <w:tc>
          <w:tcPr>
            <w:tcW w:w="3543" w:type="dxa"/>
            <w:tcBorders>
              <w:top w:val="nil"/>
              <w:left w:val="nil"/>
              <w:bottom w:val="nil"/>
              <w:right w:val="nil"/>
            </w:tcBorders>
            <w:shd w:val="clear" w:color="auto" w:fill="FFFFFF"/>
            <w:vAlign w:val="center"/>
          </w:tcPr>
          <w:p w14:paraId="1DA817E2"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LF2-Regular" w:hAnsi="Times New Roman" w:cs="Times New Roman"/>
                <w:kern w:val="0"/>
                <w:szCs w:val="21"/>
                <w:lang w:bidi="ar"/>
              </w:rPr>
              <w:t>10.1002/anie.202403050</w:t>
            </w:r>
            <w:r w:rsidRPr="00892AE3">
              <w:rPr>
                <w:rFonts w:ascii="Times New Roman" w:eastAsia="ScalaSansLF2-Regular"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LF2-Regular" w:hAnsi="Times New Roman" w:cs="Times New Roman" w:hint="eastAsia"/>
                <w:kern w:val="0"/>
                <w:szCs w:val="21"/>
                <w:lang w:bidi="ar"/>
              </w:rPr>
              <w:t>27]</w:t>
            </w:r>
          </w:p>
        </w:tc>
      </w:tr>
      <w:tr w:rsidR="000C2399" w:rsidRPr="00892AE3" w14:paraId="0CF1BAF0" w14:textId="77777777" w:rsidTr="00892AE3">
        <w:trPr>
          <w:trHeight w:val="397"/>
        </w:trPr>
        <w:tc>
          <w:tcPr>
            <w:tcW w:w="1290" w:type="dxa"/>
            <w:tcBorders>
              <w:top w:val="nil"/>
              <w:left w:val="nil"/>
              <w:bottom w:val="nil"/>
              <w:right w:val="nil"/>
            </w:tcBorders>
            <w:shd w:val="clear" w:color="auto" w:fill="FFFFFF"/>
            <w:vAlign w:val="center"/>
          </w:tcPr>
          <w:p w14:paraId="701E34B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240</w:t>
            </w:r>
          </w:p>
        </w:tc>
        <w:tc>
          <w:tcPr>
            <w:tcW w:w="1304" w:type="dxa"/>
            <w:tcBorders>
              <w:top w:val="nil"/>
              <w:left w:val="nil"/>
              <w:bottom w:val="nil"/>
              <w:right w:val="nil"/>
            </w:tcBorders>
            <w:shd w:val="clear" w:color="auto" w:fill="FFFFFF"/>
            <w:vAlign w:val="center"/>
          </w:tcPr>
          <w:p w14:paraId="51D9136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228" w:type="dxa"/>
            <w:tcBorders>
              <w:top w:val="nil"/>
              <w:left w:val="nil"/>
              <w:bottom w:val="nil"/>
              <w:right w:val="nil"/>
            </w:tcBorders>
            <w:shd w:val="clear" w:color="auto" w:fill="FFFFFF"/>
            <w:vAlign w:val="center"/>
          </w:tcPr>
          <w:p w14:paraId="0FC9C51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42.7</w:t>
            </w:r>
          </w:p>
        </w:tc>
        <w:tc>
          <w:tcPr>
            <w:tcW w:w="1235" w:type="dxa"/>
            <w:tcBorders>
              <w:top w:val="nil"/>
              <w:left w:val="nil"/>
              <w:bottom w:val="nil"/>
              <w:right w:val="nil"/>
            </w:tcBorders>
            <w:shd w:val="clear" w:color="auto" w:fill="FFFFFF"/>
            <w:vAlign w:val="center"/>
          </w:tcPr>
          <w:p w14:paraId="4A9B9E9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CI-GQDs</w:t>
            </w:r>
          </w:p>
        </w:tc>
        <w:tc>
          <w:tcPr>
            <w:tcW w:w="3543" w:type="dxa"/>
            <w:tcBorders>
              <w:top w:val="nil"/>
              <w:left w:val="nil"/>
              <w:bottom w:val="nil"/>
              <w:right w:val="nil"/>
            </w:tcBorders>
            <w:shd w:val="clear" w:color="auto" w:fill="FFFFFF"/>
            <w:vAlign w:val="center"/>
          </w:tcPr>
          <w:p w14:paraId="4F1FAB0C"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MyriadPro-Regular" w:hAnsi="Times New Roman" w:cs="Times New Roman"/>
                <w:kern w:val="0"/>
                <w:szCs w:val="21"/>
                <w:lang w:bidi="ar"/>
              </w:rPr>
              <w:t>10.1021/acsnano.3c04155</w:t>
            </w:r>
            <w:r w:rsidRPr="00892AE3">
              <w:rPr>
                <w:rFonts w:ascii="Times New Roman" w:eastAsia="MyriadPro-Regular"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MyriadPro-Regular" w:hAnsi="Times New Roman" w:cs="Times New Roman" w:hint="eastAsia"/>
                <w:kern w:val="0"/>
                <w:szCs w:val="21"/>
                <w:lang w:bidi="ar"/>
              </w:rPr>
              <w:t>28]</w:t>
            </w:r>
          </w:p>
        </w:tc>
      </w:tr>
      <w:tr w:rsidR="000C2399" w:rsidRPr="00892AE3" w14:paraId="190CE525" w14:textId="77777777" w:rsidTr="00892AE3">
        <w:trPr>
          <w:trHeight w:val="397"/>
        </w:trPr>
        <w:tc>
          <w:tcPr>
            <w:tcW w:w="1290" w:type="dxa"/>
            <w:tcBorders>
              <w:top w:val="nil"/>
              <w:left w:val="nil"/>
              <w:bottom w:val="nil"/>
              <w:right w:val="nil"/>
            </w:tcBorders>
            <w:shd w:val="clear" w:color="auto" w:fill="FFFFFF"/>
            <w:vAlign w:val="center"/>
          </w:tcPr>
          <w:p w14:paraId="309D38E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90</w:t>
            </w:r>
          </w:p>
        </w:tc>
        <w:tc>
          <w:tcPr>
            <w:tcW w:w="1304" w:type="dxa"/>
            <w:tcBorders>
              <w:top w:val="nil"/>
              <w:left w:val="nil"/>
              <w:bottom w:val="nil"/>
              <w:right w:val="nil"/>
            </w:tcBorders>
            <w:shd w:val="clear" w:color="auto" w:fill="FFFFFF"/>
            <w:vAlign w:val="center"/>
          </w:tcPr>
          <w:p w14:paraId="1A9D5DE6"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228" w:type="dxa"/>
            <w:tcBorders>
              <w:top w:val="nil"/>
              <w:left w:val="nil"/>
              <w:bottom w:val="nil"/>
              <w:right w:val="nil"/>
            </w:tcBorders>
            <w:shd w:val="clear" w:color="auto" w:fill="FFFFFF"/>
            <w:vAlign w:val="center"/>
          </w:tcPr>
          <w:p w14:paraId="222801D2"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50</w:t>
            </w:r>
          </w:p>
        </w:tc>
        <w:tc>
          <w:tcPr>
            <w:tcW w:w="1235" w:type="dxa"/>
            <w:tcBorders>
              <w:top w:val="nil"/>
              <w:left w:val="nil"/>
              <w:bottom w:val="nil"/>
              <w:right w:val="nil"/>
            </w:tcBorders>
            <w:shd w:val="clear" w:color="auto" w:fill="FFFFFF"/>
            <w:vAlign w:val="center"/>
          </w:tcPr>
          <w:p w14:paraId="73DA90C7" w14:textId="77777777" w:rsidR="000C2399" w:rsidRPr="00892AE3" w:rsidRDefault="00753684" w:rsidP="00892AE3">
            <w:pPr>
              <w:jc w:val="center"/>
              <w:rPr>
                <w:rFonts w:ascii="Times New Roman" w:hAnsi="Times New Roman" w:cs="Times New Roman"/>
                <w:szCs w:val="21"/>
              </w:rPr>
            </w:pPr>
            <w:proofErr w:type="gramStart"/>
            <w:r w:rsidRPr="00892AE3">
              <w:rPr>
                <w:rFonts w:ascii="Times New Roman" w:hAnsi="Times New Roman" w:cs="Times New Roman"/>
                <w:szCs w:val="21"/>
              </w:rPr>
              <w:t>Sr(</w:t>
            </w:r>
            <w:proofErr w:type="gramEnd"/>
            <w:r w:rsidRPr="00892AE3">
              <w:rPr>
                <w:rFonts w:ascii="Times New Roman" w:hAnsi="Times New Roman" w:cs="Times New Roman"/>
                <w:szCs w:val="21"/>
              </w:rPr>
              <w:t>NO</w:t>
            </w:r>
            <w:r w:rsidRPr="00892AE3">
              <w:rPr>
                <w:rFonts w:ascii="Times New Roman" w:hAnsi="Times New Roman" w:cs="Times New Roman"/>
                <w:szCs w:val="21"/>
                <w:vertAlign w:val="subscript"/>
              </w:rPr>
              <w:t>3</w:t>
            </w:r>
            <w:r w:rsidRPr="00892AE3">
              <w:rPr>
                <w:rFonts w:ascii="Times New Roman" w:hAnsi="Times New Roman" w:cs="Times New Roman"/>
                <w:szCs w:val="21"/>
              </w:rPr>
              <w:t>)</w:t>
            </w:r>
            <w:r w:rsidRPr="00892AE3">
              <w:rPr>
                <w:rFonts w:ascii="Times New Roman" w:hAnsi="Times New Roman" w:cs="Times New Roman"/>
                <w:szCs w:val="21"/>
                <w:vertAlign w:val="subscript"/>
              </w:rPr>
              <w:t>2</w:t>
            </w:r>
          </w:p>
        </w:tc>
        <w:tc>
          <w:tcPr>
            <w:tcW w:w="3543" w:type="dxa"/>
            <w:tcBorders>
              <w:top w:val="nil"/>
              <w:left w:val="nil"/>
              <w:bottom w:val="nil"/>
              <w:right w:val="nil"/>
            </w:tcBorders>
            <w:shd w:val="clear" w:color="auto" w:fill="FFFFFF"/>
            <w:vAlign w:val="center"/>
          </w:tcPr>
          <w:p w14:paraId="22F12B0A"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Pro-Bold" w:hAnsi="Times New Roman" w:cs="Times New Roman"/>
                <w:kern w:val="0"/>
                <w:szCs w:val="21"/>
                <w:lang w:bidi="ar"/>
              </w:rPr>
              <w:t>10.1002/adfm.202401537</w:t>
            </w:r>
            <w:r w:rsidRPr="00892AE3">
              <w:rPr>
                <w:rFonts w:ascii="Times New Roman" w:eastAsia="ScalaSansPro-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Pro-Bold" w:hAnsi="Times New Roman" w:cs="Times New Roman" w:hint="eastAsia"/>
                <w:kern w:val="0"/>
                <w:szCs w:val="21"/>
                <w:lang w:bidi="ar"/>
              </w:rPr>
              <w:t>29]</w:t>
            </w:r>
          </w:p>
        </w:tc>
      </w:tr>
      <w:tr w:rsidR="000C2399" w:rsidRPr="00892AE3" w14:paraId="1FECF437" w14:textId="77777777" w:rsidTr="00892AE3">
        <w:trPr>
          <w:trHeight w:val="397"/>
        </w:trPr>
        <w:tc>
          <w:tcPr>
            <w:tcW w:w="1290" w:type="dxa"/>
            <w:tcBorders>
              <w:top w:val="nil"/>
              <w:left w:val="nil"/>
              <w:bottom w:val="nil"/>
              <w:right w:val="nil"/>
            </w:tcBorders>
            <w:shd w:val="clear" w:color="auto" w:fill="FFFFFF"/>
            <w:vAlign w:val="center"/>
          </w:tcPr>
          <w:p w14:paraId="1EBF6CF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200</w:t>
            </w:r>
          </w:p>
        </w:tc>
        <w:tc>
          <w:tcPr>
            <w:tcW w:w="1304" w:type="dxa"/>
            <w:tcBorders>
              <w:top w:val="nil"/>
              <w:left w:val="nil"/>
              <w:bottom w:val="nil"/>
              <w:right w:val="nil"/>
            </w:tcBorders>
            <w:shd w:val="clear" w:color="auto" w:fill="FFFFFF"/>
            <w:vAlign w:val="center"/>
          </w:tcPr>
          <w:p w14:paraId="30C5411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0.5</w:t>
            </w:r>
          </w:p>
        </w:tc>
        <w:tc>
          <w:tcPr>
            <w:tcW w:w="1228" w:type="dxa"/>
            <w:tcBorders>
              <w:top w:val="nil"/>
              <w:left w:val="nil"/>
              <w:bottom w:val="nil"/>
              <w:right w:val="nil"/>
            </w:tcBorders>
            <w:shd w:val="clear" w:color="auto" w:fill="FFFFFF"/>
            <w:vAlign w:val="center"/>
          </w:tcPr>
          <w:p w14:paraId="1A5EC9A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73.9</w:t>
            </w:r>
          </w:p>
        </w:tc>
        <w:tc>
          <w:tcPr>
            <w:tcW w:w="1235" w:type="dxa"/>
            <w:tcBorders>
              <w:top w:val="nil"/>
              <w:left w:val="nil"/>
              <w:bottom w:val="nil"/>
              <w:right w:val="nil"/>
            </w:tcBorders>
            <w:shd w:val="clear" w:color="auto" w:fill="FFFFFF"/>
            <w:vAlign w:val="center"/>
          </w:tcPr>
          <w:p w14:paraId="416ACB48"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NPA</w:t>
            </w:r>
          </w:p>
        </w:tc>
        <w:tc>
          <w:tcPr>
            <w:tcW w:w="3543" w:type="dxa"/>
            <w:tcBorders>
              <w:top w:val="nil"/>
              <w:left w:val="nil"/>
              <w:bottom w:val="nil"/>
              <w:right w:val="nil"/>
            </w:tcBorders>
            <w:shd w:val="clear" w:color="auto" w:fill="FFFFFF"/>
            <w:vAlign w:val="center"/>
          </w:tcPr>
          <w:p w14:paraId="39056B2A"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CharisSIL" w:hAnsi="Times New Roman" w:cs="Times New Roman"/>
                <w:kern w:val="0"/>
                <w:szCs w:val="21"/>
                <w:lang w:bidi="ar"/>
              </w:rPr>
              <w:t>10.1016/j.ensm.2025.104727</w:t>
            </w:r>
            <w:r w:rsidRPr="00892AE3">
              <w:rPr>
                <w:rFonts w:ascii="Times New Roman" w:eastAsia="CharisSIL"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CharisSIL" w:hAnsi="Times New Roman" w:cs="Times New Roman" w:hint="eastAsia"/>
                <w:kern w:val="0"/>
                <w:szCs w:val="21"/>
                <w:lang w:bidi="ar"/>
              </w:rPr>
              <w:t>30]</w:t>
            </w:r>
          </w:p>
        </w:tc>
      </w:tr>
      <w:tr w:rsidR="000C2399" w:rsidRPr="00892AE3" w14:paraId="7D1D7DE2" w14:textId="77777777" w:rsidTr="00892AE3">
        <w:trPr>
          <w:trHeight w:val="397"/>
        </w:trPr>
        <w:tc>
          <w:tcPr>
            <w:tcW w:w="1290" w:type="dxa"/>
            <w:tcBorders>
              <w:top w:val="nil"/>
              <w:left w:val="nil"/>
              <w:bottom w:val="nil"/>
              <w:right w:val="nil"/>
            </w:tcBorders>
            <w:shd w:val="clear" w:color="auto" w:fill="FFFFFF"/>
            <w:vAlign w:val="center"/>
          </w:tcPr>
          <w:p w14:paraId="6061A02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200</w:t>
            </w:r>
          </w:p>
        </w:tc>
        <w:tc>
          <w:tcPr>
            <w:tcW w:w="1304" w:type="dxa"/>
            <w:tcBorders>
              <w:top w:val="nil"/>
              <w:left w:val="nil"/>
              <w:bottom w:val="nil"/>
              <w:right w:val="nil"/>
            </w:tcBorders>
            <w:shd w:val="clear" w:color="auto" w:fill="FFFFFF"/>
            <w:vAlign w:val="center"/>
          </w:tcPr>
          <w:p w14:paraId="1C4A88A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w:t>
            </w:r>
          </w:p>
        </w:tc>
        <w:tc>
          <w:tcPr>
            <w:tcW w:w="1228" w:type="dxa"/>
            <w:tcBorders>
              <w:top w:val="nil"/>
              <w:left w:val="nil"/>
              <w:bottom w:val="nil"/>
              <w:right w:val="nil"/>
            </w:tcBorders>
            <w:shd w:val="clear" w:color="auto" w:fill="FFFFFF"/>
            <w:vAlign w:val="center"/>
          </w:tcPr>
          <w:p w14:paraId="726A6D19"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34.3</w:t>
            </w:r>
          </w:p>
        </w:tc>
        <w:tc>
          <w:tcPr>
            <w:tcW w:w="1235" w:type="dxa"/>
            <w:tcBorders>
              <w:top w:val="nil"/>
              <w:left w:val="nil"/>
              <w:bottom w:val="nil"/>
              <w:right w:val="nil"/>
            </w:tcBorders>
            <w:shd w:val="clear" w:color="auto" w:fill="FFFFFF"/>
            <w:vAlign w:val="center"/>
          </w:tcPr>
          <w:p w14:paraId="77E85BE1" w14:textId="77777777" w:rsidR="000C2399" w:rsidRPr="00892AE3" w:rsidRDefault="00753684" w:rsidP="00892AE3">
            <w:pPr>
              <w:jc w:val="center"/>
              <w:rPr>
                <w:rFonts w:ascii="Times New Roman" w:hAnsi="Times New Roman" w:cs="Times New Roman"/>
                <w:szCs w:val="21"/>
              </w:rPr>
            </w:pPr>
            <w:proofErr w:type="spellStart"/>
            <w:r w:rsidRPr="00892AE3">
              <w:rPr>
                <w:rFonts w:ascii="Times New Roman" w:hAnsi="Times New Roman" w:cs="Times New Roman"/>
                <w:szCs w:val="21"/>
              </w:rPr>
              <w:t>Zn@ZnS</w:t>
            </w:r>
            <w:proofErr w:type="spellEnd"/>
          </w:p>
        </w:tc>
        <w:tc>
          <w:tcPr>
            <w:tcW w:w="3543" w:type="dxa"/>
            <w:tcBorders>
              <w:top w:val="nil"/>
              <w:left w:val="nil"/>
              <w:bottom w:val="nil"/>
              <w:right w:val="nil"/>
            </w:tcBorders>
            <w:shd w:val="clear" w:color="auto" w:fill="FFFFFF"/>
            <w:vAlign w:val="center"/>
          </w:tcPr>
          <w:p w14:paraId="2819B40F"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TIX-Regular" w:hAnsi="Times New Roman" w:cs="Times New Roman"/>
                <w:kern w:val="0"/>
                <w:szCs w:val="21"/>
                <w:lang w:bidi="ar"/>
              </w:rPr>
              <w:t>10.1007/s40820-023-01312-1</w:t>
            </w:r>
            <w:r w:rsidRPr="00892AE3">
              <w:rPr>
                <w:rFonts w:ascii="Times New Roman" w:eastAsia="STIX-Regular"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TIX-Regular" w:hAnsi="Times New Roman" w:cs="Times New Roman" w:hint="eastAsia"/>
                <w:kern w:val="0"/>
                <w:szCs w:val="21"/>
                <w:lang w:bidi="ar"/>
              </w:rPr>
              <w:t>31]</w:t>
            </w:r>
          </w:p>
        </w:tc>
      </w:tr>
      <w:tr w:rsidR="000C2399" w:rsidRPr="00892AE3" w14:paraId="522664B9" w14:textId="77777777" w:rsidTr="00892AE3">
        <w:trPr>
          <w:trHeight w:val="397"/>
        </w:trPr>
        <w:tc>
          <w:tcPr>
            <w:tcW w:w="1290" w:type="dxa"/>
            <w:tcBorders>
              <w:top w:val="nil"/>
              <w:left w:val="nil"/>
              <w:bottom w:val="nil"/>
              <w:right w:val="nil"/>
            </w:tcBorders>
            <w:shd w:val="clear" w:color="auto" w:fill="FFFFFF"/>
            <w:vAlign w:val="center"/>
          </w:tcPr>
          <w:p w14:paraId="6F73508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110</w:t>
            </w:r>
          </w:p>
        </w:tc>
        <w:tc>
          <w:tcPr>
            <w:tcW w:w="1304" w:type="dxa"/>
            <w:tcBorders>
              <w:top w:val="nil"/>
              <w:left w:val="nil"/>
              <w:bottom w:val="nil"/>
              <w:right w:val="nil"/>
            </w:tcBorders>
            <w:shd w:val="clear" w:color="auto" w:fill="FFFFFF"/>
            <w:vAlign w:val="center"/>
          </w:tcPr>
          <w:p w14:paraId="35E4DD40"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w:t>
            </w:r>
          </w:p>
        </w:tc>
        <w:tc>
          <w:tcPr>
            <w:tcW w:w="1228" w:type="dxa"/>
            <w:tcBorders>
              <w:top w:val="nil"/>
              <w:left w:val="nil"/>
              <w:bottom w:val="nil"/>
              <w:right w:val="nil"/>
            </w:tcBorders>
            <w:shd w:val="clear" w:color="auto" w:fill="FFFFFF"/>
            <w:vAlign w:val="center"/>
          </w:tcPr>
          <w:p w14:paraId="2808BF7C"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28</w:t>
            </w:r>
          </w:p>
        </w:tc>
        <w:tc>
          <w:tcPr>
            <w:tcW w:w="1235" w:type="dxa"/>
            <w:tcBorders>
              <w:top w:val="nil"/>
              <w:left w:val="nil"/>
              <w:bottom w:val="nil"/>
              <w:right w:val="nil"/>
            </w:tcBorders>
            <w:shd w:val="clear" w:color="auto" w:fill="FFFFFF"/>
            <w:vAlign w:val="center"/>
          </w:tcPr>
          <w:p w14:paraId="72A6CCB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CNT-Zn</w:t>
            </w:r>
          </w:p>
        </w:tc>
        <w:tc>
          <w:tcPr>
            <w:tcW w:w="3543" w:type="dxa"/>
            <w:tcBorders>
              <w:top w:val="nil"/>
              <w:left w:val="nil"/>
              <w:bottom w:val="nil"/>
              <w:right w:val="nil"/>
            </w:tcBorders>
            <w:shd w:val="clear" w:color="auto" w:fill="FFFFFF"/>
            <w:vAlign w:val="center"/>
          </w:tcPr>
          <w:p w14:paraId="04086C10"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ScalaSansLF-Bold" w:hAnsi="Times New Roman" w:cs="Times New Roman"/>
                <w:kern w:val="0"/>
                <w:szCs w:val="21"/>
                <w:lang w:bidi="ar"/>
              </w:rPr>
              <w:t>10.1002/adma.201903675</w:t>
            </w:r>
            <w:r w:rsidRPr="00892AE3">
              <w:rPr>
                <w:rFonts w:ascii="Times New Roman" w:eastAsia="ScalaSansLF-Bold"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ScalaSansLF-Bold" w:hAnsi="Times New Roman" w:cs="Times New Roman" w:hint="eastAsia"/>
                <w:kern w:val="0"/>
                <w:szCs w:val="21"/>
                <w:lang w:bidi="ar"/>
              </w:rPr>
              <w:t>32]</w:t>
            </w:r>
          </w:p>
        </w:tc>
      </w:tr>
      <w:tr w:rsidR="000C2399" w:rsidRPr="00892AE3" w14:paraId="058EF013" w14:textId="77777777" w:rsidTr="00892AE3">
        <w:trPr>
          <w:trHeight w:val="397"/>
        </w:trPr>
        <w:tc>
          <w:tcPr>
            <w:tcW w:w="1290" w:type="dxa"/>
            <w:tcBorders>
              <w:top w:val="nil"/>
              <w:left w:val="nil"/>
              <w:bottom w:val="nil"/>
              <w:right w:val="nil"/>
            </w:tcBorders>
            <w:shd w:val="clear" w:color="auto" w:fill="FFFFFF"/>
            <w:vAlign w:val="center"/>
          </w:tcPr>
          <w:p w14:paraId="25F2EEEA"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270</w:t>
            </w:r>
          </w:p>
        </w:tc>
        <w:tc>
          <w:tcPr>
            <w:tcW w:w="1304" w:type="dxa"/>
            <w:tcBorders>
              <w:top w:val="nil"/>
              <w:left w:val="nil"/>
              <w:bottom w:val="nil"/>
              <w:right w:val="nil"/>
            </w:tcBorders>
            <w:shd w:val="clear" w:color="auto" w:fill="FFFFFF"/>
            <w:vAlign w:val="center"/>
          </w:tcPr>
          <w:p w14:paraId="73C45B73"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228" w:type="dxa"/>
            <w:tcBorders>
              <w:top w:val="nil"/>
              <w:left w:val="nil"/>
              <w:bottom w:val="nil"/>
              <w:right w:val="nil"/>
            </w:tcBorders>
            <w:shd w:val="clear" w:color="auto" w:fill="FFFFFF"/>
            <w:vAlign w:val="center"/>
          </w:tcPr>
          <w:p w14:paraId="4EF53FD1"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50</w:t>
            </w:r>
          </w:p>
        </w:tc>
        <w:tc>
          <w:tcPr>
            <w:tcW w:w="1235" w:type="dxa"/>
            <w:tcBorders>
              <w:top w:val="nil"/>
              <w:left w:val="nil"/>
              <w:bottom w:val="nil"/>
              <w:right w:val="nil"/>
            </w:tcBorders>
            <w:shd w:val="clear" w:color="auto" w:fill="FFFFFF"/>
            <w:vAlign w:val="center"/>
          </w:tcPr>
          <w:p w14:paraId="319E0447"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ACE</w:t>
            </w:r>
          </w:p>
        </w:tc>
        <w:tc>
          <w:tcPr>
            <w:tcW w:w="3543" w:type="dxa"/>
            <w:tcBorders>
              <w:top w:val="nil"/>
              <w:left w:val="nil"/>
              <w:bottom w:val="nil"/>
              <w:right w:val="nil"/>
            </w:tcBorders>
            <w:shd w:val="clear" w:color="auto" w:fill="FFFFFF"/>
            <w:vAlign w:val="center"/>
          </w:tcPr>
          <w:p w14:paraId="1616D8FC"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CharisSIL" w:hAnsi="Times New Roman" w:cs="Times New Roman"/>
                <w:kern w:val="0"/>
                <w:szCs w:val="21"/>
                <w:lang w:bidi="ar"/>
              </w:rPr>
              <w:t>10.1016/j.cej.2023.146534</w:t>
            </w:r>
            <w:r w:rsidRPr="00892AE3">
              <w:rPr>
                <w:rFonts w:ascii="Times New Roman" w:eastAsia="CharisSIL"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CharisSIL" w:hAnsi="Times New Roman" w:cs="Times New Roman" w:hint="eastAsia"/>
                <w:kern w:val="0"/>
                <w:szCs w:val="21"/>
                <w:lang w:bidi="ar"/>
              </w:rPr>
              <w:t>33]</w:t>
            </w:r>
          </w:p>
        </w:tc>
      </w:tr>
      <w:tr w:rsidR="000C2399" w:rsidRPr="00892AE3" w14:paraId="0A3DC1FF" w14:textId="77777777" w:rsidTr="00892AE3">
        <w:trPr>
          <w:trHeight w:val="397"/>
        </w:trPr>
        <w:tc>
          <w:tcPr>
            <w:tcW w:w="1290" w:type="dxa"/>
            <w:tcBorders>
              <w:top w:val="nil"/>
              <w:left w:val="nil"/>
              <w:bottom w:val="nil"/>
              <w:right w:val="nil"/>
            </w:tcBorders>
            <w:shd w:val="clear" w:color="auto" w:fill="FFFFFF"/>
            <w:vAlign w:val="center"/>
          </w:tcPr>
          <w:p w14:paraId="579CC90A"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180</w:t>
            </w:r>
          </w:p>
        </w:tc>
        <w:tc>
          <w:tcPr>
            <w:tcW w:w="1304" w:type="dxa"/>
            <w:tcBorders>
              <w:top w:val="nil"/>
              <w:left w:val="nil"/>
              <w:bottom w:val="nil"/>
              <w:right w:val="nil"/>
            </w:tcBorders>
            <w:shd w:val="clear" w:color="auto" w:fill="FFFFFF"/>
            <w:vAlign w:val="center"/>
          </w:tcPr>
          <w:p w14:paraId="34D9710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2</w:t>
            </w:r>
          </w:p>
        </w:tc>
        <w:tc>
          <w:tcPr>
            <w:tcW w:w="1228" w:type="dxa"/>
            <w:tcBorders>
              <w:top w:val="nil"/>
              <w:left w:val="nil"/>
              <w:bottom w:val="nil"/>
              <w:right w:val="nil"/>
            </w:tcBorders>
            <w:shd w:val="clear" w:color="auto" w:fill="FFFFFF"/>
            <w:vAlign w:val="center"/>
          </w:tcPr>
          <w:p w14:paraId="14D2F98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35</w:t>
            </w:r>
          </w:p>
        </w:tc>
        <w:tc>
          <w:tcPr>
            <w:tcW w:w="1235" w:type="dxa"/>
            <w:tcBorders>
              <w:top w:val="nil"/>
              <w:left w:val="nil"/>
              <w:bottom w:val="nil"/>
              <w:right w:val="nil"/>
            </w:tcBorders>
            <w:shd w:val="clear" w:color="auto" w:fill="FFFFFF"/>
            <w:vAlign w:val="center"/>
          </w:tcPr>
          <w:p w14:paraId="7CBCA3C2"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EC</w:t>
            </w:r>
          </w:p>
        </w:tc>
        <w:tc>
          <w:tcPr>
            <w:tcW w:w="3543" w:type="dxa"/>
            <w:tcBorders>
              <w:top w:val="nil"/>
              <w:left w:val="nil"/>
              <w:bottom w:val="nil"/>
              <w:right w:val="nil"/>
            </w:tcBorders>
            <w:shd w:val="clear" w:color="auto" w:fill="FFFFFF"/>
            <w:vAlign w:val="center"/>
          </w:tcPr>
          <w:p w14:paraId="6BE34E3F" w14:textId="77777777" w:rsidR="000C2399" w:rsidRPr="00892AE3" w:rsidRDefault="00753684" w:rsidP="00892AE3">
            <w:pPr>
              <w:widowControl/>
              <w:jc w:val="center"/>
              <w:rPr>
                <w:rFonts w:ascii="Times New Roman" w:hAnsi="Times New Roman" w:cs="Times New Roman"/>
                <w:szCs w:val="21"/>
              </w:rPr>
            </w:pPr>
            <w:r w:rsidRPr="00892AE3">
              <w:rPr>
                <w:rFonts w:ascii="Times New Roman" w:eastAsia="AdvOTaa6301a5.B" w:hAnsi="Times New Roman" w:cs="Times New Roman"/>
                <w:kern w:val="0"/>
                <w:szCs w:val="21"/>
                <w:lang w:bidi="ar"/>
              </w:rPr>
              <w:t>10.1039/d3sc01831h</w:t>
            </w:r>
            <w:r w:rsidRPr="00892AE3">
              <w:rPr>
                <w:rFonts w:ascii="Times New Roman" w:eastAsia="AdvOTaa6301a5.B" w:hAnsi="Times New Roman" w:cs="Times New Roman" w:hint="eastAsia"/>
                <w:kern w:val="0"/>
                <w:szCs w:val="21"/>
                <w:lang w:bidi="ar"/>
              </w:rPr>
              <w:t xml:space="preserve"> [</w:t>
            </w:r>
            <w:r w:rsidRPr="00892AE3">
              <w:rPr>
                <w:rFonts w:ascii="Times New Roman" w:eastAsia="宋体" w:hAnsi="Times New Roman" w:cs="Times New Roman" w:hint="eastAsia"/>
                <w:kern w:val="0"/>
                <w:szCs w:val="21"/>
                <w:lang w:bidi="ar"/>
              </w:rPr>
              <w:t>S</w:t>
            </w:r>
            <w:r w:rsidRPr="00892AE3">
              <w:rPr>
                <w:rFonts w:ascii="Times New Roman" w:eastAsia="AdvOTaa6301a5.B" w:hAnsi="Times New Roman" w:cs="Times New Roman" w:hint="eastAsia"/>
                <w:kern w:val="0"/>
                <w:szCs w:val="21"/>
                <w:lang w:bidi="ar"/>
              </w:rPr>
              <w:t>34]</w:t>
            </w:r>
          </w:p>
        </w:tc>
      </w:tr>
      <w:tr w:rsidR="000C2399" w:rsidRPr="00892AE3" w14:paraId="3E0D024D" w14:textId="77777777" w:rsidTr="00892AE3">
        <w:trPr>
          <w:trHeight w:val="397"/>
        </w:trPr>
        <w:tc>
          <w:tcPr>
            <w:tcW w:w="1290" w:type="dxa"/>
            <w:tcBorders>
              <w:top w:val="nil"/>
              <w:left w:val="nil"/>
              <w:bottom w:val="nil"/>
              <w:right w:val="nil"/>
            </w:tcBorders>
            <w:shd w:val="clear" w:color="auto" w:fill="FFFFFF"/>
            <w:vAlign w:val="center"/>
          </w:tcPr>
          <w:p w14:paraId="7E4817E5"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400</w:t>
            </w:r>
          </w:p>
        </w:tc>
        <w:tc>
          <w:tcPr>
            <w:tcW w:w="1304" w:type="dxa"/>
            <w:tcBorders>
              <w:top w:val="nil"/>
              <w:left w:val="nil"/>
              <w:bottom w:val="nil"/>
              <w:right w:val="nil"/>
            </w:tcBorders>
            <w:shd w:val="clear" w:color="auto" w:fill="FFFFFF"/>
            <w:vAlign w:val="center"/>
          </w:tcPr>
          <w:p w14:paraId="2EC9983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w:t>
            </w:r>
          </w:p>
        </w:tc>
        <w:tc>
          <w:tcPr>
            <w:tcW w:w="1228" w:type="dxa"/>
            <w:tcBorders>
              <w:top w:val="nil"/>
              <w:left w:val="nil"/>
              <w:bottom w:val="nil"/>
              <w:right w:val="nil"/>
            </w:tcBorders>
            <w:shd w:val="clear" w:color="auto" w:fill="FFFFFF"/>
            <w:vAlign w:val="center"/>
          </w:tcPr>
          <w:p w14:paraId="06E2334E"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51.24</w:t>
            </w:r>
          </w:p>
        </w:tc>
        <w:tc>
          <w:tcPr>
            <w:tcW w:w="1235" w:type="dxa"/>
            <w:tcBorders>
              <w:top w:val="nil"/>
              <w:left w:val="nil"/>
              <w:bottom w:val="nil"/>
              <w:right w:val="nil"/>
            </w:tcBorders>
            <w:shd w:val="clear" w:color="auto" w:fill="FFFFFF"/>
            <w:vAlign w:val="center"/>
          </w:tcPr>
          <w:p w14:paraId="2ED6F454"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SUSA</w:t>
            </w:r>
          </w:p>
        </w:tc>
        <w:tc>
          <w:tcPr>
            <w:tcW w:w="3543" w:type="dxa"/>
            <w:tcBorders>
              <w:top w:val="nil"/>
              <w:left w:val="nil"/>
              <w:bottom w:val="nil"/>
              <w:right w:val="nil"/>
            </w:tcBorders>
            <w:shd w:val="clear" w:color="auto" w:fill="FFFFFF"/>
            <w:vAlign w:val="center"/>
          </w:tcPr>
          <w:p w14:paraId="07680ED0" w14:textId="77777777" w:rsidR="000C2399" w:rsidRPr="00892AE3" w:rsidRDefault="00753684" w:rsidP="00892AE3">
            <w:pPr>
              <w:widowControl/>
              <w:jc w:val="center"/>
              <w:rPr>
                <w:rFonts w:ascii="Times New Roman" w:eastAsia="AdvOTaa6301a5.B" w:hAnsi="Times New Roman" w:cs="Times New Roman"/>
                <w:kern w:val="0"/>
                <w:szCs w:val="21"/>
                <w:lang w:bidi="ar"/>
              </w:rPr>
            </w:pPr>
            <w:r w:rsidRPr="00892AE3">
              <w:rPr>
                <w:rFonts w:ascii="Times New Roman" w:eastAsia="AdvOTaa6301a5.B" w:hAnsi="Times New Roman" w:cs="Times New Roman"/>
                <w:kern w:val="0"/>
                <w:szCs w:val="21"/>
                <w:lang w:bidi="ar"/>
              </w:rPr>
              <w:t>This work</w:t>
            </w:r>
          </w:p>
        </w:tc>
      </w:tr>
      <w:tr w:rsidR="000C2399" w:rsidRPr="00892AE3" w14:paraId="21B9F190" w14:textId="77777777" w:rsidTr="00892AE3">
        <w:trPr>
          <w:trHeight w:val="397"/>
        </w:trPr>
        <w:tc>
          <w:tcPr>
            <w:tcW w:w="1290" w:type="dxa"/>
            <w:tcBorders>
              <w:top w:val="nil"/>
              <w:left w:val="nil"/>
              <w:bottom w:val="single" w:sz="8" w:space="0" w:color="000000"/>
              <w:right w:val="nil"/>
            </w:tcBorders>
            <w:shd w:val="clear" w:color="auto" w:fill="FFFFFF"/>
            <w:vAlign w:val="center"/>
          </w:tcPr>
          <w:p w14:paraId="141E1B6B"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350</w:t>
            </w:r>
          </w:p>
        </w:tc>
        <w:tc>
          <w:tcPr>
            <w:tcW w:w="1304" w:type="dxa"/>
            <w:tcBorders>
              <w:top w:val="nil"/>
              <w:left w:val="nil"/>
              <w:bottom w:val="single" w:sz="8" w:space="0" w:color="000000"/>
              <w:right w:val="nil"/>
            </w:tcBorders>
            <w:shd w:val="clear" w:color="auto" w:fill="FFFFFF"/>
            <w:vAlign w:val="center"/>
          </w:tcPr>
          <w:p w14:paraId="620E8A5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10</w:t>
            </w:r>
          </w:p>
        </w:tc>
        <w:tc>
          <w:tcPr>
            <w:tcW w:w="1228" w:type="dxa"/>
            <w:tcBorders>
              <w:top w:val="nil"/>
              <w:left w:val="nil"/>
              <w:bottom w:val="single" w:sz="8" w:space="0" w:color="000000"/>
              <w:right w:val="nil"/>
            </w:tcBorders>
            <w:shd w:val="clear" w:color="auto" w:fill="FFFFFF"/>
            <w:vAlign w:val="center"/>
          </w:tcPr>
          <w:p w14:paraId="62DF48AF"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56.9</w:t>
            </w:r>
          </w:p>
        </w:tc>
        <w:tc>
          <w:tcPr>
            <w:tcW w:w="1235" w:type="dxa"/>
            <w:tcBorders>
              <w:top w:val="nil"/>
              <w:left w:val="nil"/>
              <w:bottom w:val="single" w:sz="8" w:space="0" w:color="000000"/>
              <w:right w:val="nil"/>
            </w:tcBorders>
            <w:shd w:val="clear" w:color="auto" w:fill="FFFFFF"/>
            <w:vAlign w:val="center"/>
          </w:tcPr>
          <w:p w14:paraId="2AF44A2D" w14:textId="77777777" w:rsidR="000C2399" w:rsidRPr="00892AE3" w:rsidRDefault="00753684" w:rsidP="00892AE3">
            <w:pPr>
              <w:jc w:val="center"/>
              <w:rPr>
                <w:rFonts w:ascii="Times New Roman" w:hAnsi="Times New Roman" w:cs="Times New Roman"/>
                <w:szCs w:val="21"/>
              </w:rPr>
            </w:pPr>
            <w:r w:rsidRPr="00892AE3">
              <w:rPr>
                <w:rFonts w:ascii="Times New Roman" w:hAnsi="Times New Roman" w:cs="Times New Roman"/>
                <w:szCs w:val="21"/>
              </w:rPr>
              <w:t>SUSA</w:t>
            </w:r>
          </w:p>
        </w:tc>
        <w:tc>
          <w:tcPr>
            <w:tcW w:w="3543" w:type="dxa"/>
            <w:tcBorders>
              <w:top w:val="nil"/>
              <w:left w:val="nil"/>
              <w:bottom w:val="single" w:sz="8" w:space="0" w:color="000000"/>
              <w:right w:val="nil"/>
            </w:tcBorders>
            <w:shd w:val="clear" w:color="auto" w:fill="FFFFFF"/>
            <w:vAlign w:val="center"/>
          </w:tcPr>
          <w:p w14:paraId="78CE69B3" w14:textId="77777777" w:rsidR="000C2399" w:rsidRPr="00892AE3" w:rsidRDefault="00753684" w:rsidP="00892AE3">
            <w:pPr>
              <w:widowControl/>
              <w:jc w:val="center"/>
              <w:rPr>
                <w:rFonts w:ascii="Times New Roman" w:eastAsia="AdvOTaa6301a5.B" w:hAnsi="Times New Roman" w:cs="Times New Roman"/>
                <w:kern w:val="0"/>
                <w:szCs w:val="21"/>
                <w:lang w:bidi="ar"/>
              </w:rPr>
            </w:pPr>
            <w:r w:rsidRPr="00892AE3">
              <w:rPr>
                <w:rFonts w:ascii="Times New Roman" w:eastAsia="AdvOTaa6301a5.B" w:hAnsi="Times New Roman" w:cs="Times New Roman"/>
                <w:kern w:val="0"/>
                <w:szCs w:val="21"/>
                <w:lang w:bidi="ar"/>
              </w:rPr>
              <w:t>This work</w:t>
            </w:r>
          </w:p>
        </w:tc>
      </w:tr>
    </w:tbl>
    <w:p w14:paraId="5C631EA3" w14:textId="77777777" w:rsidR="000C2399" w:rsidRDefault="00753684" w:rsidP="00533892">
      <w:pPr>
        <w:spacing w:beforeLines="50" w:before="156" w:afterLines="50" w:after="156"/>
        <w:rPr>
          <w:rFonts w:ascii="Times New Roman" w:hAnsi="Times New Roman" w:cs="Times New Roman"/>
          <w:sz w:val="28"/>
          <w:szCs w:val="28"/>
        </w:rPr>
      </w:pPr>
      <w:r>
        <w:rPr>
          <w:rFonts w:ascii="Times New Roman" w:hAnsi="Times New Roman" w:cs="Times New Roman" w:hint="eastAsia"/>
          <w:b/>
          <w:sz w:val="28"/>
          <w:szCs w:val="28"/>
        </w:rPr>
        <w:t xml:space="preserve">Supplementary </w:t>
      </w:r>
      <w:r>
        <w:rPr>
          <w:rFonts w:ascii="Times New Roman" w:hAnsi="Times New Roman" w:cs="Times New Roman"/>
          <w:b/>
          <w:sz w:val="28"/>
          <w:szCs w:val="28"/>
        </w:rPr>
        <w:t>References</w:t>
      </w:r>
    </w:p>
    <w:p w14:paraId="619B342C" w14:textId="77777777" w:rsidR="000C2399" w:rsidRDefault="00753684" w:rsidP="00533892">
      <w:pPr>
        <w:pStyle w:val="EndNoteBibliography"/>
        <w:spacing w:before="120" w:after="120"/>
        <w:ind w:left="561" w:hanging="561"/>
        <w:rPr>
          <w:sz w:val="24"/>
        </w:rPr>
      </w:pPr>
      <w:r>
        <w:rPr>
          <w:rFonts w:hint="eastAsia"/>
          <w:sz w:val="24"/>
        </w:rPr>
        <w:t xml:space="preserve">[S1] </w:t>
      </w:r>
      <w:r>
        <w:rPr>
          <w:sz w:val="24"/>
        </w:rPr>
        <w:t>Y. Chen, S. Zhou, J. Li, X. Zhang, C. Zhou et al. Tuning Zn</w:t>
      </w:r>
      <w:r>
        <w:rPr>
          <w:sz w:val="24"/>
          <w:vertAlign w:val="superscript"/>
        </w:rPr>
        <w:t>2+</w:t>
      </w:r>
      <w:r>
        <w:rPr>
          <w:sz w:val="24"/>
        </w:rPr>
        <w:t xml:space="preserve"> deposition kinetics towards deep‐reversible zinc metal batteries with all‐climate adaptability. </w:t>
      </w:r>
      <w:proofErr w:type="spellStart"/>
      <w:r>
        <w:rPr>
          <w:sz w:val="24"/>
        </w:rPr>
        <w:t>Angew</w:t>
      </w:r>
      <w:proofErr w:type="spellEnd"/>
      <w:r>
        <w:rPr>
          <w:sz w:val="24"/>
        </w:rPr>
        <w:t xml:space="preserve">. Chem. Int. Ed. </w:t>
      </w:r>
      <w:r>
        <w:rPr>
          <w:b/>
          <w:sz w:val="24"/>
        </w:rPr>
        <w:t>64</w:t>
      </w:r>
      <w:r>
        <w:rPr>
          <w:sz w:val="24"/>
        </w:rPr>
        <w:t xml:space="preserve">(18), e202423252 (2025). </w:t>
      </w:r>
      <w:hyperlink r:id="rId58" w:history="1">
        <w:r>
          <w:rPr>
            <w:color w:val="0000FF"/>
            <w:sz w:val="24"/>
            <w:u w:val="single"/>
          </w:rPr>
          <w:t>https://doi.org/10.1002/anie.202423252</w:t>
        </w:r>
      </w:hyperlink>
    </w:p>
    <w:p w14:paraId="1A2D5779" w14:textId="77777777" w:rsidR="000C2399" w:rsidRDefault="00753684" w:rsidP="00533892">
      <w:pPr>
        <w:pStyle w:val="EndNoteBibliography"/>
        <w:spacing w:before="120" w:after="120"/>
        <w:ind w:left="561" w:hanging="561"/>
        <w:rPr>
          <w:sz w:val="24"/>
        </w:rPr>
      </w:pPr>
      <w:r>
        <w:rPr>
          <w:rFonts w:hint="eastAsia"/>
          <w:sz w:val="24"/>
        </w:rPr>
        <w:lastRenderedPageBreak/>
        <w:t xml:space="preserve">[S2] </w:t>
      </w:r>
      <w:r>
        <w:rPr>
          <w:sz w:val="24"/>
        </w:rPr>
        <w:t xml:space="preserve">H. K. </w:t>
      </w:r>
      <w:proofErr w:type="spellStart"/>
      <w:r>
        <w:rPr>
          <w:sz w:val="24"/>
        </w:rPr>
        <w:t>Bezabh</w:t>
      </w:r>
      <w:proofErr w:type="spellEnd"/>
      <w:r>
        <w:rPr>
          <w:sz w:val="24"/>
        </w:rPr>
        <w:t xml:space="preserve">, J.-C. </w:t>
      </w:r>
      <w:proofErr w:type="spellStart"/>
      <w:r>
        <w:rPr>
          <w:sz w:val="24"/>
        </w:rPr>
        <w:t>Chiou</w:t>
      </w:r>
      <w:proofErr w:type="spellEnd"/>
      <w:r>
        <w:rPr>
          <w:sz w:val="24"/>
        </w:rPr>
        <w:t xml:space="preserve">, T. A. Nigatu, T. M. Hagos, S.-K. Jiang et al. In-depth insight into a passive film through hydrogen-bonding network in an aqueous zinc battery. ACS Appl. Mater. Interfaces. </w:t>
      </w:r>
      <w:r>
        <w:rPr>
          <w:b/>
          <w:sz w:val="24"/>
        </w:rPr>
        <w:t>15</w:t>
      </w:r>
      <w:r>
        <w:rPr>
          <w:sz w:val="24"/>
        </w:rPr>
        <w:t xml:space="preserve">(6), 7949-7958 (2023). </w:t>
      </w:r>
      <w:hyperlink r:id="rId59" w:history="1">
        <w:r>
          <w:rPr>
            <w:color w:val="0000FF"/>
            <w:sz w:val="24"/>
            <w:u w:val="single"/>
          </w:rPr>
          <w:t>https://doi.org/10.1021/acsami.2c18154</w:t>
        </w:r>
      </w:hyperlink>
    </w:p>
    <w:p w14:paraId="58818E7A" w14:textId="77777777" w:rsidR="000C2399" w:rsidRDefault="00753684" w:rsidP="00533892">
      <w:pPr>
        <w:pStyle w:val="EndNoteBibliography"/>
        <w:spacing w:before="120" w:after="120"/>
        <w:ind w:left="561" w:hanging="561"/>
        <w:rPr>
          <w:sz w:val="24"/>
        </w:rPr>
      </w:pPr>
      <w:r>
        <w:rPr>
          <w:rFonts w:hint="eastAsia"/>
          <w:sz w:val="24"/>
        </w:rPr>
        <w:t xml:space="preserve">[S3] </w:t>
      </w:r>
      <w:r>
        <w:rPr>
          <w:sz w:val="24"/>
        </w:rPr>
        <w:t xml:space="preserve">R. Hao, S. Gu, Z. Wang, J. Chen, W. Luo et al. Reconstructing the solvation structure and solid-liquid interface enables dendrite-free zinc-ion batteries. Mater. </w:t>
      </w:r>
      <w:proofErr w:type="gramStart"/>
      <w:r>
        <w:rPr>
          <w:sz w:val="24"/>
        </w:rPr>
        <w:t>Today</w:t>
      </w:r>
      <w:proofErr w:type="gramEnd"/>
      <w:r>
        <w:rPr>
          <w:sz w:val="24"/>
        </w:rPr>
        <w:t xml:space="preserve"> Energy. </w:t>
      </w:r>
      <w:r>
        <w:rPr>
          <w:b/>
          <w:sz w:val="24"/>
        </w:rPr>
        <w:t>33</w:t>
      </w:r>
      <w:r>
        <w:rPr>
          <w:sz w:val="24"/>
        </w:rPr>
        <w:t xml:space="preserve">, 101279 (2023). </w:t>
      </w:r>
      <w:hyperlink r:id="rId60" w:history="1">
        <w:r>
          <w:rPr>
            <w:color w:val="0000FF"/>
            <w:sz w:val="24"/>
            <w:u w:val="single"/>
          </w:rPr>
          <w:t>https://doi.org/10.1016/j.mtener.2023.101279</w:t>
        </w:r>
      </w:hyperlink>
    </w:p>
    <w:p w14:paraId="7D43D022" w14:textId="77777777" w:rsidR="000C2399" w:rsidRDefault="00753684" w:rsidP="00533892">
      <w:pPr>
        <w:pStyle w:val="EndNoteBibliography"/>
        <w:spacing w:before="120" w:after="120"/>
        <w:ind w:left="561" w:hanging="561"/>
        <w:rPr>
          <w:sz w:val="24"/>
        </w:rPr>
      </w:pPr>
      <w:r>
        <w:rPr>
          <w:rFonts w:hint="eastAsia"/>
          <w:sz w:val="24"/>
        </w:rPr>
        <w:t xml:space="preserve">[S4] </w:t>
      </w:r>
      <w:r>
        <w:rPr>
          <w:sz w:val="24"/>
        </w:rPr>
        <w:t xml:space="preserve">R. Jiang, T. </w:t>
      </w:r>
      <w:proofErr w:type="spellStart"/>
      <w:r>
        <w:rPr>
          <w:sz w:val="24"/>
        </w:rPr>
        <w:t>Naren</w:t>
      </w:r>
      <w:proofErr w:type="spellEnd"/>
      <w:r>
        <w:rPr>
          <w:sz w:val="24"/>
        </w:rPr>
        <w:t xml:space="preserve">, Y. Chen, Z. Chen, C. Zhang et al. Enhanced hydrogen bonding through strong water‐locking additives for long‐term cycling of zinc ion batteries. Adv. </w:t>
      </w:r>
      <w:proofErr w:type="spellStart"/>
      <w:r>
        <w:rPr>
          <w:sz w:val="24"/>
        </w:rPr>
        <w:t>Funct</w:t>
      </w:r>
      <w:proofErr w:type="spellEnd"/>
      <w:r>
        <w:rPr>
          <w:sz w:val="24"/>
        </w:rPr>
        <w:t xml:space="preserve">. Mater. </w:t>
      </w:r>
      <w:r>
        <w:rPr>
          <w:b/>
          <w:sz w:val="24"/>
        </w:rPr>
        <w:t>34</w:t>
      </w:r>
      <w:r>
        <w:rPr>
          <w:sz w:val="24"/>
        </w:rPr>
        <w:t xml:space="preserve">(49), 2411477 (2024). </w:t>
      </w:r>
      <w:hyperlink r:id="rId61" w:history="1">
        <w:r>
          <w:rPr>
            <w:color w:val="0000FF"/>
            <w:sz w:val="24"/>
            <w:u w:val="single"/>
          </w:rPr>
          <w:t>https://doi.org/10.1002/adfm.202411477</w:t>
        </w:r>
      </w:hyperlink>
    </w:p>
    <w:p w14:paraId="2D94A52F" w14:textId="77777777" w:rsidR="000C2399" w:rsidRDefault="00753684" w:rsidP="00533892">
      <w:pPr>
        <w:pStyle w:val="EndNoteBibliography"/>
        <w:spacing w:before="120" w:after="120"/>
        <w:ind w:left="561" w:hanging="561"/>
        <w:rPr>
          <w:sz w:val="24"/>
        </w:rPr>
      </w:pPr>
      <w:r>
        <w:rPr>
          <w:rFonts w:hint="eastAsia"/>
          <w:sz w:val="24"/>
        </w:rPr>
        <w:t xml:space="preserve">[S5] </w:t>
      </w:r>
      <w:r>
        <w:rPr>
          <w:sz w:val="24"/>
        </w:rPr>
        <w:t xml:space="preserve">N. Wang, X. Chen, H. Wan, B. Zhang, K. Guan et al. </w:t>
      </w:r>
      <w:proofErr w:type="spellStart"/>
      <w:r>
        <w:rPr>
          <w:sz w:val="24"/>
        </w:rPr>
        <w:t>Zincophobic</w:t>
      </w:r>
      <w:proofErr w:type="spellEnd"/>
      <w:r>
        <w:rPr>
          <w:sz w:val="24"/>
        </w:rPr>
        <w:t xml:space="preserve"> electrolyte achieves highly reversible zinc‐ion batteries. Adv. </w:t>
      </w:r>
      <w:proofErr w:type="spellStart"/>
      <w:r>
        <w:rPr>
          <w:sz w:val="24"/>
        </w:rPr>
        <w:t>Funct</w:t>
      </w:r>
      <w:proofErr w:type="spellEnd"/>
      <w:r>
        <w:rPr>
          <w:sz w:val="24"/>
        </w:rPr>
        <w:t xml:space="preserve">. Mater. </w:t>
      </w:r>
      <w:r>
        <w:rPr>
          <w:b/>
          <w:sz w:val="24"/>
        </w:rPr>
        <w:t>33</w:t>
      </w:r>
      <w:r>
        <w:rPr>
          <w:sz w:val="24"/>
        </w:rPr>
        <w:t xml:space="preserve">(27), 2300795 (2023). </w:t>
      </w:r>
      <w:hyperlink r:id="rId62" w:history="1">
        <w:r>
          <w:rPr>
            <w:color w:val="0000FF"/>
            <w:sz w:val="24"/>
            <w:u w:val="single"/>
          </w:rPr>
          <w:t>https://doi.org/10.1002/adfm.202300795</w:t>
        </w:r>
      </w:hyperlink>
    </w:p>
    <w:p w14:paraId="3A91C73A" w14:textId="77777777" w:rsidR="000C2399" w:rsidRDefault="00753684" w:rsidP="00533892">
      <w:pPr>
        <w:pStyle w:val="EndNoteBibliography"/>
        <w:spacing w:before="120" w:after="120"/>
        <w:ind w:left="561" w:hanging="561"/>
        <w:rPr>
          <w:sz w:val="24"/>
        </w:rPr>
      </w:pPr>
      <w:r>
        <w:rPr>
          <w:rFonts w:hint="eastAsia"/>
          <w:sz w:val="24"/>
        </w:rPr>
        <w:t xml:space="preserve">[S6] </w:t>
      </w:r>
      <w:r>
        <w:rPr>
          <w:sz w:val="24"/>
        </w:rPr>
        <w:t xml:space="preserve">W. Liang, D. Li, R. Zhong, S. Tao, Y. Zhu et al. Electrolyte engineering strategy with catecholate type additive enabled ultradurable Zn anode. Adv. </w:t>
      </w:r>
      <w:proofErr w:type="spellStart"/>
      <w:r>
        <w:rPr>
          <w:sz w:val="24"/>
        </w:rPr>
        <w:t>Funct</w:t>
      </w:r>
      <w:proofErr w:type="spellEnd"/>
      <w:r>
        <w:rPr>
          <w:sz w:val="24"/>
        </w:rPr>
        <w:t xml:space="preserve">. Mater. </w:t>
      </w:r>
      <w:r>
        <w:rPr>
          <w:b/>
          <w:sz w:val="24"/>
        </w:rPr>
        <w:t>35</w:t>
      </w:r>
      <w:r>
        <w:rPr>
          <w:sz w:val="24"/>
        </w:rPr>
        <w:t xml:space="preserve">(36), 2504195 (2025). </w:t>
      </w:r>
      <w:hyperlink r:id="rId63" w:history="1">
        <w:r>
          <w:rPr>
            <w:color w:val="0000FF"/>
            <w:sz w:val="24"/>
            <w:u w:val="single"/>
          </w:rPr>
          <w:t>https://doi.org/10.1002/adfm.202504195</w:t>
        </w:r>
      </w:hyperlink>
    </w:p>
    <w:p w14:paraId="0594DD08" w14:textId="77777777" w:rsidR="000C2399" w:rsidRDefault="00753684" w:rsidP="00533892">
      <w:pPr>
        <w:pStyle w:val="EndNoteBibliography"/>
        <w:spacing w:before="120" w:after="120"/>
        <w:ind w:left="561" w:hanging="561"/>
        <w:rPr>
          <w:sz w:val="24"/>
        </w:rPr>
      </w:pPr>
      <w:r>
        <w:rPr>
          <w:rFonts w:hint="eastAsia"/>
          <w:sz w:val="24"/>
        </w:rPr>
        <w:t xml:space="preserve">[S7] </w:t>
      </w:r>
      <w:r>
        <w:rPr>
          <w:sz w:val="24"/>
        </w:rPr>
        <w:t>X. Zhang, J. Chen, H. Cao, X. Huang, Y. Liu et al. Efficient suppression of dendrites and side reactions by strong electrostatic shielding effect via the additive of Rb</w:t>
      </w:r>
      <w:r>
        <w:rPr>
          <w:sz w:val="24"/>
          <w:vertAlign w:val="subscript"/>
        </w:rPr>
        <w:t>2</w:t>
      </w:r>
      <w:r>
        <w:rPr>
          <w:sz w:val="24"/>
        </w:rPr>
        <w:t>SO</w:t>
      </w:r>
      <w:r>
        <w:rPr>
          <w:sz w:val="24"/>
          <w:vertAlign w:val="subscript"/>
        </w:rPr>
        <w:t>4</w:t>
      </w:r>
      <w:r>
        <w:rPr>
          <w:sz w:val="24"/>
        </w:rPr>
        <w:t xml:space="preserve"> for anodes in aqueous zinc‐ion batteries. Small. </w:t>
      </w:r>
      <w:r>
        <w:rPr>
          <w:b/>
          <w:sz w:val="24"/>
        </w:rPr>
        <w:t>19</w:t>
      </w:r>
      <w:r>
        <w:rPr>
          <w:sz w:val="24"/>
        </w:rPr>
        <w:t xml:space="preserve">(52), 2303906 (2023). </w:t>
      </w:r>
      <w:hyperlink r:id="rId64" w:history="1">
        <w:r>
          <w:rPr>
            <w:color w:val="0000FF"/>
            <w:sz w:val="24"/>
            <w:u w:val="single"/>
          </w:rPr>
          <w:t>https://doi.org/10.1002/smll.202303906</w:t>
        </w:r>
      </w:hyperlink>
    </w:p>
    <w:p w14:paraId="3AF03108" w14:textId="77777777" w:rsidR="000C2399" w:rsidRDefault="00753684" w:rsidP="00533892">
      <w:pPr>
        <w:pStyle w:val="EndNoteBibliography"/>
        <w:spacing w:before="120" w:after="120"/>
        <w:ind w:left="561" w:hanging="561"/>
        <w:rPr>
          <w:sz w:val="24"/>
        </w:rPr>
      </w:pPr>
      <w:r>
        <w:rPr>
          <w:rFonts w:hint="eastAsia"/>
          <w:sz w:val="24"/>
        </w:rPr>
        <w:t xml:space="preserve">[S8] </w:t>
      </w:r>
      <w:r>
        <w:rPr>
          <w:sz w:val="24"/>
        </w:rPr>
        <w:t xml:space="preserve">J. Luo, L. Xu, Y. Zhou, T. Yan, Y. Shao et al. Regulating the inner Helmholtz plane with a high donor additive for efficient anode reversibility in aqueous Zn‐ion batteries. </w:t>
      </w:r>
      <w:proofErr w:type="spellStart"/>
      <w:r>
        <w:rPr>
          <w:sz w:val="24"/>
        </w:rPr>
        <w:t>Angew</w:t>
      </w:r>
      <w:proofErr w:type="spellEnd"/>
      <w:r>
        <w:rPr>
          <w:sz w:val="24"/>
        </w:rPr>
        <w:t xml:space="preserve">. Chem. Int. Ed. </w:t>
      </w:r>
      <w:r>
        <w:rPr>
          <w:b/>
          <w:sz w:val="24"/>
        </w:rPr>
        <w:t>62</w:t>
      </w:r>
      <w:r>
        <w:rPr>
          <w:sz w:val="24"/>
        </w:rPr>
        <w:t xml:space="preserve">(21), e202302302 (2023). </w:t>
      </w:r>
      <w:hyperlink r:id="rId65" w:history="1">
        <w:r>
          <w:rPr>
            <w:color w:val="0000FF"/>
            <w:sz w:val="24"/>
            <w:u w:val="single"/>
          </w:rPr>
          <w:t>https://doi.org/10.1002/anie.202302302</w:t>
        </w:r>
      </w:hyperlink>
    </w:p>
    <w:p w14:paraId="2B95D16E" w14:textId="77777777" w:rsidR="000C2399" w:rsidRDefault="00753684" w:rsidP="00533892">
      <w:pPr>
        <w:pStyle w:val="EndNoteBibliography"/>
        <w:spacing w:before="120" w:after="120"/>
        <w:ind w:left="561" w:hanging="561"/>
        <w:rPr>
          <w:sz w:val="24"/>
        </w:rPr>
      </w:pPr>
      <w:r>
        <w:rPr>
          <w:rFonts w:hint="eastAsia"/>
          <w:sz w:val="24"/>
        </w:rPr>
        <w:t xml:space="preserve">[S9] </w:t>
      </w:r>
      <w:r>
        <w:rPr>
          <w:sz w:val="24"/>
        </w:rPr>
        <w:t>Z. Luo, T. Xu, L. Cao, Q. Liu, D. Li et al. Caffeine-enhanced Zn</w:t>
      </w:r>
      <w:r>
        <w:rPr>
          <w:rFonts w:hint="eastAsia"/>
          <w:sz w:val="24"/>
        </w:rPr>
        <w:t xml:space="preserve"> </w:t>
      </w:r>
      <w:r>
        <w:rPr>
          <w:sz w:val="24"/>
        </w:rPr>
        <w:t xml:space="preserve">(002) texture-oriented growth for stable aqueous zinc-ion batteries. J. Energy Chem. </w:t>
      </w:r>
      <w:r>
        <w:rPr>
          <w:b/>
          <w:sz w:val="24"/>
        </w:rPr>
        <w:t>107</w:t>
      </w:r>
      <w:r>
        <w:rPr>
          <w:sz w:val="24"/>
        </w:rPr>
        <w:t xml:space="preserve">, 44-52 (2025). </w:t>
      </w:r>
      <w:hyperlink r:id="rId66" w:history="1">
        <w:r>
          <w:rPr>
            <w:color w:val="0000FF"/>
            <w:sz w:val="24"/>
            <w:u w:val="single"/>
          </w:rPr>
          <w:t>https://doi.org/10.1016/j.jechem.2025.02.066</w:t>
        </w:r>
      </w:hyperlink>
    </w:p>
    <w:p w14:paraId="2D90346A" w14:textId="77777777" w:rsidR="000C2399" w:rsidRDefault="00753684" w:rsidP="00533892">
      <w:pPr>
        <w:pStyle w:val="EndNoteBibliography"/>
        <w:spacing w:before="120" w:after="120"/>
        <w:ind w:left="561" w:hanging="561"/>
        <w:rPr>
          <w:sz w:val="24"/>
        </w:rPr>
      </w:pPr>
      <w:r>
        <w:rPr>
          <w:rFonts w:hint="eastAsia"/>
          <w:sz w:val="24"/>
        </w:rPr>
        <w:t xml:space="preserve">[S10] </w:t>
      </w:r>
      <w:r>
        <w:rPr>
          <w:sz w:val="24"/>
        </w:rPr>
        <w:t xml:space="preserve">B. Wang, C. Guan, Q. Zhou, Y. Wang, Y. Zhu et al. Screening anionic groups within zwitterionic additives for eliminating hydrogen evolution and dendrites in aqueous zinc ion batteries. Nano-Micro Lett. </w:t>
      </w:r>
      <w:r>
        <w:rPr>
          <w:b/>
          <w:sz w:val="24"/>
        </w:rPr>
        <w:t>17</w:t>
      </w:r>
      <w:r>
        <w:rPr>
          <w:sz w:val="24"/>
        </w:rPr>
        <w:t xml:space="preserve">(1), 314 (2025). </w:t>
      </w:r>
      <w:hyperlink r:id="rId67" w:history="1">
        <w:r>
          <w:rPr>
            <w:color w:val="0000FF"/>
            <w:sz w:val="24"/>
            <w:u w:val="single"/>
          </w:rPr>
          <w:t>https://doi.org/10.1007/s40820-025-01826-w</w:t>
        </w:r>
      </w:hyperlink>
    </w:p>
    <w:p w14:paraId="10379CFA" w14:textId="77777777" w:rsidR="000C2399" w:rsidRDefault="00753684" w:rsidP="00533892">
      <w:pPr>
        <w:pStyle w:val="EndNoteBibliography"/>
        <w:spacing w:before="120" w:after="120"/>
        <w:ind w:left="561" w:hanging="561"/>
        <w:rPr>
          <w:sz w:val="24"/>
        </w:rPr>
      </w:pPr>
      <w:r>
        <w:rPr>
          <w:rFonts w:hint="eastAsia"/>
          <w:sz w:val="24"/>
        </w:rPr>
        <w:t xml:space="preserve">[S11] </w:t>
      </w:r>
      <w:r>
        <w:rPr>
          <w:sz w:val="24"/>
        </w:rPr>
        <w:t xml:space="preserve">M. Wang, J. Ma, Y. Meng, J. Sun, Y. Yuan et al. High‐capacity zinc anode with 96 % utilization rate enabled by solvation structure design. </w:t>
      </w:r>
      <w:proofErr w:type="spellStart"/>
      <w:r>
        <w:rPr>
          <w:sz w:val="24"/>
        </w:rPr>
        <w:t>Angew</w:t>
      </w:r>
      <w:proofErr w:type="spellEnd"/>
      <w:r>
        <w:rPr>
          <w:sz w:val="24"/>
        </w:rPr>
        <w:t xml:space="preserve">. Chem. Int. Ed. </w:t>
      </w:r>
      <w:r>
        <w:rPr>
          <w:b/>
          <w:sz w:val="24"/>
        </w:rPr>
        <w:t>62</w:t>
      </w:r>
      <w:r>
        <w:rPr>
          <w:sz w:val="24"/>
        </w:rPr>
        <w:t xml:space="preserve">(3), e202214966 (2022). </w:t>
      </w:r>
      <w:hyperlink r:id="rId68" w:history="1">
        <w:r>
          <w:rPr>
            <w:color w:val="0000FF"/>
            <w:sz w:val="24"/>
            <w:u w:val="single"/>
          </w:rPr>
          <w:t>https://doi.org/10.1002/anie.202214966</w:t>
        </w:r>
      </w:hyperlink>
    </w:p>
    <w:p w14:paraId="408DEDD3" w14:textId="77777777" w:rsidR="000C2399" w:rsidRDefault="00753684" w:rsidP="00533892">
      <w:pPr>
        <w:pStyle w:val="EndNoteBibliography"/>
        <w:spacing w:before="120" w:after="120"/>
        <w:ind w:left="561" w:hanging="561"/>
        <w:rPr>
          <w:sz w:val="24"/>
        </w:rPr>
      </w:pPr>
      <w:r>
        <w:rPr>
          <w:rFonts w:hint="eastAsia"/>
          <w:sz w:val="24"/>
        </w:rPr>
        <w:t xml:space="preserve">[S12] </w:t>
      </w:r>
      <w:r>
        <w:rPr>
          <w:sz w:val="24"/>
        </w:rPr>
        <w:t xml:space="preserve">P. Sun, L. Ma, W. Zhou, M. </w:t>
      </w:r>
      <w:proofErr w:type="spellStart"/>
      <w:r>
        <w:rPr>
          <w:sz w:val="24"/>
        </w:rPr>
        <w:t>Qiu</w:t>
      </w:r>
      <w:proofErr w:type="spellEnd"/>
      <w:r>
        <w:rPr>
          <w:sz w:val="24"/>
        </w:rPr>
        <w:t xml:space="preserve">, Z. Wang et al. Simultaneous regulation on solvation shell and electrode interface for dendrite‐free Zn ion batteries achieved by a low‐cost glucose additive. </w:t>
      </w:r>
      <w:proofErr w:type="spellStart"/>
      <w:r>
        <w:rPr>
          <w:sz w:val="24"/>
        </w:rPr>
        <w:t>Angew</w:t>
      </w:r>
      <w:proofErr w:type="spellEnd"/>
      <w:r>
        <w:rPr>
          <w:sz w:val="24"/>
        </w:rPr>
        <w:t xml:space="preserve">. Chem. Int. Ed. </w:t>
      </w:r>
      <w:r>
        <w:rPr>
          <w:b/>
          <w:sz w:val="24"/>
        </w:rPr>
        <w:t>60</w:t>
      </w:r>
      <w:r>
        <w:rPr>
          <w:sz w:val="24"/>
        </w:rPr>
        <w:t xml:space="preserve">(33), 18247-18255 (2021). </w:t>
      </w:r>
      <w:hyperlink r:id="rId69" w:history="1">
        <w:r>
          <w:rPr>
            <w:color w:val="0000FF"/>
            <w:sz w:val="24"/>
            <w:u w:val="single"/>
          </w:rPr>
          <w:t>https://doi.org/10.1002/anie.202105756</w:t>
        </w:r>
      </w:hyperlink>
    </w:p>
    <w:p w14:paraId="1FE98AAD" w14:textId="77777777" w:rsidR="000C2399" w:rsidRDefault="00753684" w:rsidP="00533892">
      <w:pPr>
        <w:pStyle w:val="EndNoteBibliography"/>
        <w:spacing w:before="120" w:after="120"/>
        <w:ind w:left="561" w:hanging="561"/>
        <w:rPr>
          <w:sz w:val="24"/>
        </w:rPr>
      </w:pPr>
      <w:r>
        <w:rPr>
          <w:rFonts w:hint="eastAsia"/>
          <w:sz w:val="24"/>
        </w:rPr>
        <w:lastRenderedPageBreak/>
        <w:t xml:space="preserve">[S13] </w:t>
      </w:r>
      <w:r>
        <w:rPr>
          <w:sz w:val="24"/>
        </w:rPr>
        <w:t xml:space="preserve">C. Huang, X. Zhao, S. Liu, Y. Hao, Q. Tang et al. Stabilizing zinc anodes by regulating the electrical double layer with saccharin anions. Adv. Mater. </w:t>
      </w:r>
      <w:r>
        <w:rPr>
          <w:b/>
          <w:sz w:val="24"/>
        </w:rPr>
        <w:t>33</w:t>
      </w:r>
      <w:r>
        <w:rPr>
          <w:sz w:val="24"/>
        </w:rPr>
        <w:t xml:space="preserve">(38), 2100445 (2021). </w:t>
      </w:r>
      <w:hyperlink r:id="rId70" w:history="1">
        <w:r>
          <w:rPr>
            <w:color w:val="0000FF"/>
            <w:sz w:val="24"/>
            <w:u w:val="single"/>
          </w:rPr>
          <w:t>https://doi.org/10.1002/adma.202100445</w:t>
        </w:r>
      </w:hyperlink>
    </w:p>
    <w:p w14:paraId="5D79CC36" w14:textId="77777777" w:rsidR="000C2399" w:rsidRDefault="00753684" w:rsidP="00533892">
      <w:pPr>
        <w:pStyle w:val="EndNoteBibliography"/>
        <w:spacing w:before="120" w:after="120"/>
        <w:ind w:left="561" w:hanging="561"/>
        <w:rPr>
          <w:sz w:val="24"/>
        </w:rPr>
      </w:pPr>
      <w:r>
        <w:rPr>
          <w:rFonts w:hint="eastAsia"/>
          <w:sz w:val="24"/>
        </w:rPr>
        <w:t xml:space="preserve">[S14] </w:t>
      </w:r>
      <w:r>
        <w:rPr>
          <w:sz w:val="24"/>
        </w:rPr>
        <w:t xml:space="preserve">Y. Wang, L. e. Mo, X. Zhang, Y. Ren, T. Wei et al. Facet‐termination promoted uniform Zn (100) deposition for high‐stable zinc‐ion batteries. Adv. Energy Mater. </w:t>
      </w:r>
      <w:r>
        <w:rPr>
          <w:b/>
          <w:sz w:val="24"/>
        </w:rPr>
        <w:t>13</w:t>
      </w:r>
      <w:r>
        <w:rPr>
          <w:sz w:val="24"/>
        </w:rPr>
        <w:t xml:space="preserve">(31), 2301517 (2023). </w:t>
      </w:r>
      <w:hyperlink r:id="rId71" w:history="1">
        <w:r>
          <w:rPr>
            <w:color w:val="0000FF"/>
            <w:sz w:val="24"/>
            <w:u w:val="single"/>
          </w:rPr>
          <w:t>https://doi.org/10.1002/aenm.202301517</w:t>
        </w:r>
      </w:hyperlink>
    </w:p>
    <w:p w14:paraId="249C2AC1" w14:textId="77777777" w:rsidR="000C2399" w:rsidRDefault="00753684" w:rsidP="00533892">
      <w:pPr>
        <w:pStyle w:val="EndNoteBibliography"/>
        <w:spacing w:before="120" w:after="120"/>
        <w:ind w:left="561" w:hanging="561"/>
        <w:rPr>
          <w:sz w:val="24"/>
        </w:rPr>
      </w:pPr>
      <w:r>
        <w:rPr>
          <w:rFonts w:hint="eastAsia"/>
          <w:sz w:val="24"/>
        </w:rPr>
        <w:t xml:space="preserve">[S15] </w:t>
      </w:r>
      <w:r>
        <w:rPr>
          <w:sz w:val="24"/>
        </w:rPr>
        <w:t xml:space="preserve">Q. Ma, W. Song, X. Zhang, N. Yang, B. Wu et al. Reforming multifunctional solid electrolyte interphase for high‐performance Zn anode through a nature‐inspired strategy. Adv. </w:t>
      </w:r>
      <w:proofErr w:type="spellStart"/>
      <w:r>
        <w:rPr>
          <w:sz w:val="24"/>
        </w:rPr>
        <w:t>Funct</w:t>
      </w:r>
      <w:proofErr w:type="spellEnd"/>
      <w:r>
        <w:rPr>
          <w:sz w:val="24"/>
        </w:rPr>
        <w:t xml:space="preserve">. Mater. </w:t>
      </w:r>
      <w:r>
        <w:rPr>
          <w:b/>
          <w:sz w:val="24"/>
        </w:rPr>
        <w:t>35</w:t>
      </w:r>
      <w:r>
        <w:rPr>
          <w:sz w:val="24"/>
        </w:rPr>
        <w:t xml:space="preserve">(19), 2422159 (2025). </w:t>
      </w:r>
      <w:hyperlink r:id="rId72" w:history="1">
        <w:r>
          <w:rPr>
            <w:color w:val="0000FF"/>
            <w:sz w:val="24"/>
            <w:u w:val="single"/>
          </w:rPr>
          <w:t>https://doi.org/10.1002/adfm.202422159</w:t>
        </w:r>
      </w:hyperlink>
    </w:p>
    <w:p w14:paraId="1621009D" w14:textId="77777777" w:rsidR="000C2399" w:rsidRDefault="00753684" w:rsidP="00533892">
      <w:pPr>
        <w:pStyle w:val="EndNoteBibliography"/>
        <w:spacing w:before="120" w:after="120"/>
        <w:ind w:left="561" w:hanging="561"/>
        <w:rPr>
          <w:sz w:val="24"/>
        </w:rPr>
      </w:pPr>
      <w:r>
        <w:rPr>
          <w:rFonts w:hint="eastAsia"/>
          <w:sz w:val="24"/>
        </w:rPr>
        <w:t xml:space="preserve">[S16] </w:t>
      </w:r>
      <w:r>
        <w:rPr>
          <w:sz w:val="24"/>
        </w:rPr>
        <w:t xml:space="preserve">Y. Deng, Z. Xiao, W. Xu, Y. Wang, Z. Peng et al. Moderate yet reversible </w:t>
      </w:r>
      <w:proofErr w:type="spellStart"/>
      <w:r>
        <w:rPr>
          <w:sz w:val="24"/>
        </w:rPr>
        <w:t>oligozwitterion</w:t>
      </w:r>
      <w:proofErr w:type="spellEnd"/>
      <w:r>
        <w:rPr>
          <w:sz w:val="24"/>
        </w:rPr>
        <w:t xml:space="preserve"> adsorption unlocks stable zinc‐ion batteries. Adv. </w:t>
      </w:r>
      <w:proofErr w:type="spellStart"/>
      <w:r>
        <w:rPr>
          <w:sz w:val="24"/>
        </w:rPr>
        <w:t>Funct</w:t>
      </w:r>
      <w:proofErr w:type="spellEnd"/>
      <w:r>
        <w:rPr>
          <w:sz w:val="24"/>
        </w:rPr>
        <w:t xml:space="preserve">. Mater. </w:t>
      </w:r>
      <w:r>
        <w:rPr>
          <w:b/>
          <w:sz w:val="24"/>
        </w:rPr>
        <w:t>35</w:t>
      </w:r>
      <w:r>
        <w:rPr>
          <w:sz w:val="24"/>
        </w:rPr>
        <w:t xml:space="preserve">(52), e09652 (2025). </w:t>
      </w:r>
      <w:hyperlink r:id="rId73" w:history="1">
        <w:r>
          <w:rPr>
            <w:color w:val="0000FF"/>
            <w:sz w:val="24"/>
            <w:u w:val="single"/>
          </w:rPr>
          <w:t>https://doi.org/10.1002/adfm.202509652</w:t>
        </w:r>
      </w:hyperlink>
    </w:p>
    <w:p w14:paraId="0B2139FD" w14:textId="77777777" w:rsidR="000C2399" w:rsidRDefault="00753684" w:rsidP="00533892">
      <w:pPr>
        <w:pStyle w:val="EndNoteBibliography"/>
        <w:spacing w:before="120" w:after="120"/>
        <w:ind w:left="561" w:hanging="561"/>
        <w:rPr>
          <w:sz w:val="24"/>
        </w:rPr>
      </w:pPr>
      <w:r>
        <w:rPr>
          <w:rFonts w:hint="eastAsia"/>
          <w:sz w:val="24"/>
        </w:rPr>
        <w:t xml:space="preserve">[S17] </w:t>
      </w:r>
      <w:r>
        <w:rPr>
          <w:sz w:val="24"/>
        </w:rPr>
        <w:t xml:space="preserve">J. Wang, H. Yang, Y. Zhong, J. Feng, Z. Cui et al. A theory‐driven moderation strategy for electrolyte design unlocks stable aqueous zinc deposition. </w:t>
      </w:r>
      <w:proofErr w:type="spellStart"/>
      <w:r>
        <w:rPr>
          <w:sz w:val="24"/>
        </w:rPr>
        <w:t>Angew</w:t>
      </w:r>
      <w:proofErr w:type="spellEnd"/>
      <w:r>
        <w:rPr>
          <w:sz w:val="24"/>
        </w:rPr>
        <w:t xml:space="preserve">. Chem. Int. Ed. </w:t>
      </w:r>
      <w:r>
        <w:rPr>
          <w:b/>
          <w:sz w:val="24"/>
        </w:rPr>
        <w:t>64</w:t>
      </w:r>
      <w:r>
        <w:rPr>
          <w:sz w:val="24"/>
        </w:rPr>
        <w:t xml:space="preserve">(51), e202518262 (2025). </w:t>
      </w:r>
      <w:hyperlink r:id="rId74" w:history="1">
        <w:r>
          <w:rPr>
            <w:color w:val="0000FF"/>
            <w:sz w:val="24"/>
            <w:u w:val="single"/>
          </w:rPr>
          <w:t>https://doi.org/10.1002/anie.202518262</w:t>
        </w:r>
      </w:hyperlink>
    </w:p>
    <w:p w14:paraId="14BA662C" w14:textId="77777777" w:rsidR="000C2399" w:rsidRDefault="00753684" w:rsidP="00533892">
      <w:pPr>
        <w:pStyle w:val="EndNoteBibliography"/>
        <w:spacing w:before="120" w:after="120"/>
        <w:ind w:left="561" w:hanging="561"/>
        <w:rPr>
          <w:sz w:val="24"/>
        </w:rPr>
      </w:pPr>
      <w:r>
        <w:rPr>
          <w:rFonts w:hint="eastAsia"/>
          <w:sz w:val="24"/>
        </w:rPr>
        <w:t xml:space="preserve">[S18] </w:t>
      </w:r>
      <w:r>
        <w:rPr>
          <w:sz w:val="24"/>
        </w:rPr>
        <w:t xml:space="preserve">T. C. Li, Y. V. Lim, X. L. Li, S. Luo, C. Lin et al. A universal additive strategy to reshape electrolyte solvation structure toward reversible Zn storage. Adv. Energy Mater. </w:t>
      </w:r>
      <w:r>
        <w:rPr>
          <w:b/>
          <w:sz w:val="24"/>
        </w:rPr>
        <w:t>12</w:t>
      </w:r>
      <w:r>
        <w:rPr>
          <w:sz w:val="24"/>
        </w:rPr>
        <w:t xml:space="preserve">(15), 2103231 (2022). </w:t>
      </w:r>
      <w:hyperlink r:id="rId75" w:history="1">
        <w:r>
          <w:rPr>
            <w:color w:val="0000FF"/>
            <w:sz w:val="24"/>
            <w:u w:val="single"/>
          </w:rPr>
          <w:t>https://doi.org/10.1002/aenm.202103231</w:t>
        </w:r>
      </w:hyperlink>
    </w:p>
    <w:p w14:paraId="4DEE4F7E" w14:textId="77777777" w:rsidR="000C2399" w:rsidRDefault="00753684" w:rsidP="00533892">
      <w:pPr>
        <w:pStyle w:val="EndNoteBibliography"/>
        <w:spacing w:before="120" w:after="120"/>
        <w:ind w:left="561" w:hanging="561"/>
        <w:rPr>
          <w:sz w:val="24"/>
        </w:rPr>
      </w:pPr>
      <w:r>
        <w:rPr>
          <w:rFonts w:hint="eastAsia"/>
          <w:sz w:val="24"/>
        </w:rPr>
        <w:t xml:space="preserve">[S19] </w:t>
      </w:r>
      <w:r>
        <w:rPr>
          <w:sz w:val="24"/>
        </w:rPr>
        <w:t xml:space="preserve">Z. Miao, Q. Liu, W. Wei, X. Zhao, M. Du et al. Unveiling unique steric effect of threonine additive for highly reversible Zn anode. Nano Energy. </w:t>
      </w:r>
      <w:r>
        <w:rPr>
          <w:b/>
          <w:sz w:val="24"/>
        </w:rPr>
        <w:t>97</w:t>
      </w:r>
      <w:r>
        <w:rPr>
          <w:sz w:val="24"/>
        </w:rPr>
        <w:t xml:space="preserve">, 107145 (2022). </w:t>
      </w:r>
      <w:hyperlink r:id="rId76" w:history="1">
        <w:r>
          <w:rPr>
            <w:color w:val="0000FF"/>
            <w:sz w:val="24"/>
            <w:u w:val="single"/>
          </w:rPr>
          <w:t>https://doi.org/10.1016/j.nanoen.2022.107145</w:t>
        </w:r>
      </w:hyperlink>
    </w:p>
    <w:p w14:paraId="4A6C86BD" w14:textId="77777777" w:rsidR="000C2399" w:rsidRDefault="00753684" w:rsidP="00533892">
      <w:pPr>
        <w:pStyle w:val="EndNoteBibliography"/>
        <w:spacing w:before="120" w:after="120"/>
        <w:ind w:left="561" w:hanging="561"/>
        <w:rPr>
          <w:sz w:val="24"/>
        </w:rPr>
      </w:pPr>
      <w:r>
        <w:rPr>
          <w:rFonts w:hint="eastAsia"/>
          <w:sz w:val="24"/>
        </w:rPr>
        <w:t xml:space="preserve">[S20] </w:t>
      </w:r>
      <w:r>
        <w:rPr>
          <w:sz w:val="24"/>
        </w:rPr>
        <w:t xml:space="preserve">Z. Wang, R. Cao, J. Lu, R. Yang, L. Qin et al. Natural </w:t>
      </w:r>
      <w:proofErr w:type="spellStart"/>
      <w:r>
        <w:rPr>
          <w:sz w:val="24"/>
        </w:rPr>
        <w:t>mogroside</w:t>
      </w:r>
      <w:proofErr w:type="spellEnd"/>
      <w:r>
        <w:rPr>
          <w:sz w:val="24"/>
        </w:rPr>
        <w:t xml:space="preserve"> additive enabling stable zinc anodes through solvation and hydrogen bond network regulation. Small. </w:t>
      </w:r>
      <w:r>
        <w:rPr>
          <w:b/>
          <w:sz w:val="24"/>
        </w:rPr>
        <w:t>21</w:t>
      </w:r>
      <w:r>
        <w:rPr>
          <w:sz w:val="24"/>
        </w:rPr>
        <w:t xml:space="preserve">(49), e09633 (2025). </w:t>
      </w:r>
      <w:hyperlink r:id="rId77" w:history="1">
        <w:r>
          <w:rPr>
            <w:color w:val="0000FF"/>
            <w:sz w:val="24"/>
            <w:u w:val="single"/>
          </w:rPr>
          <w:t>https://doi.org/10.1002/smll.202509633</w:t>
        </w:r>
      </w:hyperlink>
    </w:p>
    <w:p w14:paraId="4079E510" w14:textId="77777777" w:rsidR="000C2399" w:rsidRDefault="00753684" w:rsidP="00533892">
      <w:pPr>
        <w:pStyle w:val="EndNoteBibliography"/>
        <w:spacing w:before="120" w:after="120"/>
        <w:ind w:left="561" w:hanging="561"/>
        <w:rPr>
          <w:sz w:val="24"/>
        </w:rPr>
      </w:pPr>
      <w:r>
        <w:rPr>
          <w:rFonts w:hint="eastAsia"/>
          <w:sz w:val="24"/>
        </w:rPr>
        <w:t xml:space="preserve">[S21] </w:t>
      </w:r>
      <w:r>
        <w:rPr>
          <w:sz w:val="24"/>
        </w:rPr>
        <w:t xml:space="preserve">L. Shang, C. Cao, J. Fan, L. Yuan. Ethylenediaminetetraacetic acid zinc disodium salt electrolyte additive for enhanced zinc anode performance in aqueous zinc-ion batteries. J. Energy Storage. </w:t>
      </w:r>
      <w:r>
        <w:rPr>
          <w:b/>
          <w:sz w:val="24"/>
        </w:rPr>
        <w:t>136</w:t>
      </w:r>
      <w:r>
        <w:rPr>
          <w:sz w:val="24"/>
        </w:rPr>
        <w:t xml:space="preserve">, 118388 (2025). </w:t>
      </w:r>
      <w:hyperlink r:id="rId78" w:history="1">
        <w:r>
          <w:rPr>
            <w:color w:val="0000FF"/>
            <w:sz w:val="24"/>
            <w:u w:val="single"/>
          </w:rPr>
          <w:t>https://doi.org/10.1016/j.est.2025.118388</w:t>
        </w:r>
      </w:hyperlink>
    </w:p>
    <w:p w14:paraId="1F557FF0" w14:textId="77777777" w:rsidR="000C2399" w:rsidRDefault="00753684" w:rsidP="00533892">
      <w:pPr>
        <w:pStyle w:val="EndNoteBibliography"/>
        <w:spacing w:before="120" w:after="120"/>
        <w:ind w:left="561" w:hanging="561"/>
        <w:rPr>
          <w:sz w:val="24"/>
        </w:rPr>
      </w:pPr>
      <w:r>
        <w:rPr>
          <w:rFonts w:hint="eastAsia"/>
          <w:sz w:val="24"/>
        </w:rPr>
        <w:t xml:space="preserve">[S22] </w:t>
      </w:r>
      <w:r>
        <w:rPr>
          <w:sz w:val="24"/>
        </w:rPr>
        <w:t xml:space="preserve">K. Zhao, S. Ma, J. Zhao, H. Li, C. Ma et al. Synergistic interfacial chemistry enabled by a multifunctional zwitterionic polymer additive for highly reversible Zn metal anodes. J. Colloid Interface Sci. </w:t>
      </w:r>
      <w:r>
        <w:rPr>
          <w:b/>
          <w:sz w:val="24"/>
        </w:rPr>
        <w:t>702</w:t>
      </w:r>
      <w:r>
        <w:rPr>
          <w:sz w:val="24"/>
        </w:rPr>
        <w:t xml:space="preserve">, 138847 (2026). </w:t>
      </w:r>
      <w:hyperlink r:id="rId79" w:history="1">
        <w:r>
          <w:rPr>
            <w:color w:val="0000FF"/>
            <w:sz w:val="24"/>
            <w:u w:val="single"/>
          </w:rPr>
          <w:t>https://doi.org/10.1016/j.jcis.2025.138847</w:t>
        </w:r>
      </w:hyperlink>
    </w:p>
    <w:p w14:paraId="2E19EDF5" w14:textId="77777777" w:rsidR="000C2399" w:rsidRDefault="00753684" w:rsidP="00533892">
      <w:pPr>
        <w:pStyle w:val="EndNoteBibliography"/>
        <w:spacing w:before="120" w:after="120"/>
        <w:ind w:left="561" w:hanging="561"/>
        <w:rPr>
          <w:sz w:val="24"/>
        </w:rPr>
      </w:pPr>
      <w:r>
        <w:rPr>
          <w:rFonts w:hint="eastAsia"/>
          <w:sz w:val="24"/>
        </w:rPr>
        <w:t xml:space="preserve">[S23] </w:t>
      </w:r>
      <w:r>
        <w:rPr>
          <w:sz w:val="24"/>
        </w:rPr>
        <w:t xml:space="preserve">L. Chen, Y. Tian, B.-C. Liu, B.-X. Zhang, K.-R. Ren et al. Stabilizing zinc anode with multifunctional glycine copper additive. Chem. Eng. J. </w:t>
      </w:r>
      <w:r>
        <w:rPr>
          <w:b/>
          <w:sz w:val="24"/>
        </w:rPr>
        <w:t>522</w:t>
      </w:r>
      <w:r>
        <w:rPr>
          <w:sz w:val="24"/>
        </w:rPr>
        <w:t xml:space="preserve">, 167617 (2025). </w:t>
      </w:r>
      <w:hyperlink r:id="rId80" w:history="1">
        <w:r>
          <w:rPr>
            <w:color w:val="0000FF"/>
            <w:sz w:val="24"/>
            <w:u w:val="single"/>
          </w:rPr>
          <w:t>https://doi.org/10.1016/j.cej.2025.167617</w:t>
        </w:r>
      </w:hyperlink>
    </w:p>
    <w:p w14:paraId="33CAACB1" w14:textId="77777777" w:rsidR="000C2399" w:rsidRDefault="00753684" w:rsidP="00533892">
      <w:pPr>
        <w:pStyle w:val="EndNoteBibliography"/>
        <w:spacing w:before="120" w:after="120"/>
        <w:ind w:left="561" w:hanging="561"/>
        <w:rPr>
          <w:sz w:val="24"/>
        </w:rPr>
      </w:pPr>
      <w:r>
        <w:rPr>
          <w:rFonts w:hint="eastAsia"/>
          <w:sz w:val="24"/>
        </w:rPr>
        <w:t xml:space="preserve">[S24] </w:t>
      </w:r>
      <w:r>
        <w:rPr>
          <w:sz w:val="24"/>
        </w:rPr>
        <w:t xml:space="preserve">J. Yang, T. Sun, M. Cheng, W. Zhang, Z. </w:t>
      </w:r>
      <w:proofErr w:type="spellStart"/>
      <w:r>
        <w:rPr>
          <w:sz w:val="24"/>
        </w:rPr>
        <w:t>Zha</w:t>
      </w:r>
      <w:proofErr w:type="spellEnd"/>
      <w:r>
        <w:rPr>
          <w:sz w:val="24"/>
        </w:rPr>
        <w:t xml:space="preserve"> et al. Adsorption-induced dual-layer solid electrolyte interface toward a highly reversible Zn anode. J. Mater. Chem. A. </w:t>
      </w:r>
      <w:r>
        <w:rPr>
          <w:b/>
          <w:sz w:val="24"/>
        </w:rPr>
        <w:t>13</w:t>
      </w:r>
      <w:r>
        <w:rPr>
          <w:sz w:val="24"/>
        </w:rPr>
        <w:t xml:space="preserve">(36), 30118-30127 (2025). </w:t>
      </w:r>
      <w:hyperlink r:id="rId81" w:history="1">
        <w:r>
          <w:rPr>
            <w:color w:val="0000FF"/>
            <w:sz w:val="24"/>
            <w:u w:val="single"/>
          </w:rPr>
          <w:t>https://doi.org/10.1039/d5ta04776e</w:t>
        </w:r>
      </w:hyperlink>
    </w:p>
    <w:p w14:paraId="014FD03B" w14:textId="77777777" w:rsidR="000C2399" w:rsidRDefault="00753684" w:rsidP="00533892">
      <w:pPr>
        <w:pStyle w:val="EndNoteBibliography"/>
        <w:spacing w:before="120" w:after="120"/>
        <w:ind w:left="561" w:hanging="561"/>
        <w:rPr>
          <w:sz w:val="24"/>
        </w:rPr>
      </w:pPr>
      <w:r>
        <w:rPr>
          <w:rFonts w:hint="eastAsia"/>
          <w:sz w:val="24"/>
        </w:rPr>
        <w:lastRenderedPageBreak/>
        <w:t xml:space="preserve">[S25] </w:t>
      </w:r>
      <w:r>
        <w:rPr>
          <w:sz w:val="24"/>
        </w:rPr>
        <w:t xml:space="preserve">Y. Lu, Y. Jiang, J. Yi, Y. Wei, F. Wang et al. Creatinine: A muscle metabolite as a multifunctional electrolyte additive for aqueous zinc‐ion batteries. Small Methods. </w:t>
      </w:r>
      <w:r>
        <w:rPr>
          <w:b/>
          <w:sz w:val="24"/>
        </w:rPr>
        <w:t>9</w:t>
      </w:r>
      <w:r>
        <w:rPr>
          <w:sz w:val="24"/>
        </w:rPr>
        <w:t xml:space="preserve">(10), 2500188 (2025). </w:t>
      </w:r>
      <w:hyperlink r:id="rId82" w:history="1">
        <w:r>
          <w:rPr>
            <w:color w:val="0000FF"/>
            <w:sz w:val="24"/>
            <w:u w:val="single"/>
          </w:rPr>
          <w:t>https://doi.org/10.1002/smtd.202500188</w:t>
        </w:r>
      </w:hyperlink>
    </w:p>
    <w:p w14:paraId="6DF4174F" w14:textId="77777777" w:rsidR="000C2399" w:rsidRDefault="00753684" w:rsidP="00533892">
      <w:pPr>
        <w:pStyle w:val="EndNoteBibliography"/>
        <w:spacing w:before="120" w:after="120"/>
        <w:ind w:left="561" w:hanging="561"/>
        <w:rPr>
          <w:sz w:val="24"/>
        </w:rPr>
      </w:pPr>
      <w:r>
        <w:rPr>
          <w:rFonts w:hint="eastAsia"/>
          <w:sz w:val="24"/>
        </w:rPr>
        <w:t xml:space="preserve">[S26] </w:t>
      </w:r>
      <w:r>
        <w:rPr>
          <w:sz w:val="24"/>
        </w:rPr>
        <w:t xml:space="preserve">K. Zhao, G. Fan, J. Liu, F. Liu, J. Li et al. Boosting the kinetics and stability of Zn anodes in aqueous electrolytes with supramolecular cyclodextrin additives. J. Am. Chem. Soc. </w:t>
      </w:r>
      <w:r>
        <w:rPr>
          <w:b/>
          <w:sz w:val="24"/>
        </w:rPr>
        <w:t>144</w:t>
      </w:r>
      <w:r>
        <w:rPr>
          <w:sz w:val="24"/>
        </w:rPr>
        <w:t xml:space="preserve">(25), 11129-11137 (2022). </w:t>
      </w:r>
      <w:hyperlink r:id="rId83" w:history="1">
        <w:r>
          <w:rPr>
            <w:color w:val="0000FF"/>
            <w:sz w:val="24"/>
            <w:u w:val="single"/>
          </w:rPr>
          <w:t>https://doi.org/10.1021/jacs.2c00551</w:t>
        </w:r>
      </w:hyperlink>
    </w:p>
    <w:p w14:paraId="482F3486" w14:textId="77777777" w:rsidR="000C2399" w:rsidRDefault="00753684" w:rsidP="00533892">
      <w:pPr>
        <w:pStyle w:val="EndNoteBibliography"/>
        <w:spacing w:before="120" w:after="120"/>
        <w:ind w:left="561" w:hanging="561"/>
        <w:rPr>
          <w:sz w:val="24"/>
        </w:rPr>
      </w:pPr>
      <w:r>
        <w:rPr>
          <w:rFonts w:hint="eastAsia"/>
          <w:sz w:val="24"/>
        </w:rPr>
        <w:t xml:space="preserve">[S27] </w:t>
      </w:r>
      <w:r>
        <w:rPr>
          <w:sz w:val="24"/>
        </w:rPr>
        <w:t xml:space="preserve">S. Zhou, X. Meng, Y. Chen, J. Li, S. Lin et al. Zinc‐ion anchor induced highly reversible Zn anodes for high performance Zn‐ion batteries. </w:t>
      </w:r>
      <w:proofErr w:type="spellStart"/>
      <w:r>
        <w:rPr>
          <w:sz w:val="24"/>
        </w:rPr>
        <w:t>Angew</w:t>
      </w:r>
      <w:proofErr w:type="spellEnd"/>
      <w:r>
        <w:rPr>
          <w:sz w:val="24"/>
        </w:rPr>
        <w:t xml:space="preserve">. Chem. Int. Ed. </w:t>
      </w:r>
      <w:r>
        <w:rPr>
          <w:b/>
          <w:sz w:val="24"/>
        </w:rPr>
        <w:t>63</w:t>
      </w:r>
      <w:r>
        <w:rPr>
          <w:sz w:val="24"/>
        </w:rPr>
        <w:t xml:space="preserve">(24), e202403050 (2024). </w:t>
      </w:r>
      <w:hyperlink r:id="rId84" w:history="1">
        <w:r>
          <w:rPr>
            <w:color w:val="0000FF"/>
            <w:sz w:val="24"/>
            <w:u w:val="single"/>
          </w:rPr>
          <w:t>https://doi.org/10.1002/anie.202403050</w:t>
        </w:r>
      </w:hyperlink>
    </w:p>
    <w:p w14:paraId="55FEE39A" w14:textId="77777777" w:rsidR="000C2399" w:rsidRDefault="00753684" w:rsidP="00533892">
      <w:pPr>
        <w:pStyle w:val="EndNoteBibliography"/>
        <w:spacing w:before="120" w:after="120"/>
        <w:ind w:left="561" w:hanging="561"/>
        <w:rPr>
          <w:sz w:val="24"/>
        </w:rPr>
      </w:pPr>
      <w:r>
        <w:rPr>
          <w:rFonts w:hint="eastAsia"/>
          <w:sz w:val="24"/>
        </w:rPr>
        <w:t xml:space="preserve">[S28] </w:t>
      </w:r>
      <w:r>
        <w:rPr>
          <w:sz w:val="24"/>
        </w:rPr>
        <w:t xml:space="preserve">H. Wang, A. Zhou, X. Hu, Z. Hu, F. Zhang et al. Bifunctional dynamic adaptive interphase reconfiguration for zinc deposition modulation and side reaction suppression in aqueous zinc ion batteries. ACS Nano. </w:t>
      </w:r>
      <w:r>
        <w:rPr>
          <w:b/>
          <w:sz w:val="24"/>
        </w:rPr>
        <w:t>17</w:t>
      </w:r>
      <w:r>
        <w:rPr>
          <w:sz w:val="24"/>
        </w:rPr>
        <w:t xml:space="preserve">(12), 11946-11956 (2023). </w:t>
      </w:r>
      <w:hyperlink r:id="rId85" w:history="1">
        <w:r>
          <w:rPr>
            <w:color w:val="0000FF"/>
            <w:sz w:val="24"/>
            <w:u w:val="single"/>
          </w:rPr>
          <w:t>https://doi.org/10.1021/acsnano.3c04155</w:t>
        </w:r>
      </w:hyperlink>
    </w:p>
    <w:p w14:paraId="2E6E6C81" w14:textId="77777777" w:rsidR="000C2399" w:rsidRDefault="00753684" w:rsidP="00533892">
      <w:pPr>
        <w:pStyle w:val="EndNoteBibliography"/>
        <w:spacing w:before="120" w:after="120"/>
        <w:ind w:left="561" w:hanging="561"/>
        <w:rPr>
          <w:sz w:val="24"/>
        </w:rPr>
      </w:pPr>
      <w:r>
        <w:rPr>
          <w:rFonts w:hint="eastAsia"/>
          <w:sz w:val="24"/>
        </w:rPr>
        <w:t xml:space="preserve">[S29] </w:t>
      </w:r>
      <w:r>
        <w:rPr>
          <w:sz w:val="24"/>
        </w:rPr>
        <w:t xml:space="preserve">J. Cao, J. Wu, H. Wu, Y. </w:t>
      </w:r>
      <w:proofErr w:type="spellStart"/>
      <w:r>
        <w:rPr>
          <w:sz w:val="24"/>
        </w:rPr>
        <w:t>Jin</w:t>
      </w:r>
      <w:proofErr w:type="spellEnd"/>
      <w:r>
        <w:rPr>
          <w:sz w:val="24"/>
        </w:rPr>
        <w:t xml:space="preserve">, D. Luo et al. Dendrite‐free zinc anode via oriented plating with alkaline earth metal ion additives. Adv. </w:t>
      </w:r>
      <w:proofErr w:type="spellStart"/>
      <w:r>
        <w:rPr>
          <w:sz w:val="24"/>
        </w:rPr>
        <w:t>Funct</w:t>
      </w:r>
      <w:proofErr w:type="spellEnd"/>
      <w:r>
        <w:rPr>
          <w:sz w:val="24"/>
        </w:rPr>
        <w:t xml:space="preserve">. Mater. </w:t>
      </w:r>
      <w:r>
        <w:rPr>
          <w:b/>
          <w:sz w:val="24"/>
        </w:rPr>
        <w:t>34</w:t>
      </w:r>
      <w:r>
        <w:rPr>
          <w:sz w:val="24"/>
        </w:rPr>
        <w:t xml:space="preserve">(32), 2401537 (2024). </w:t>
      </w:r>
      <w:hyperlink r:id="rId86" w:history="1">
        <w:r>
          <w:rPr>
            <w:color w:val="0000FF"/>
            <w:sz w:val="24"/>
            <w:u w:val="single"/>
          </w:rPr>
          <w:t>https://doi.org/10.1002/adfm.202401537</w:t>
        </w:r>
      </w:hyperlink>
    </w:p>
    <w:p w14:paraId="5D45575F" w14:textId="77777777" w:rsidR="000C2399" w:rsidRDefault="00753684" w:rsidP="00533892">
      <w:pPr>
        <w:pStyle w:val="EndNoteBibliography"/>
        <w:spacing w:before="120" w:after="120"/>
        <w:ind w:left="561" w:hanging="561"/>
        <w:rPr>
          <w:sz w:val="24"/>
        </w:rPr>
      </w:pPr>
      <w:r>
        <w:rPr>
          <w:rFonts w:hint="eastAsia"/>
          <w:sz w:val="24"/>
        </w:rPr>
        <w:t xml:space="preserve">[S30] </w:t>
      </w:r>
      <w:r>
        <w:rPr>
          <w:sz w:val="24"/>
        </w:rPr>
        <w:t xml:space="preserve">Z. Liu, J. Sun, X. Li, N. Jiang, Y. Zhang et al. Constructing eutectic solvation sheath by weak solvation effect for stabilizing Zn-ion batteries with low-temperature adaptability. Energy Storage Mater. </w:t>
      </w:r>
      <w:r>
        <w:rPr>
          <w:b/>
          <w:sz w:val="24"/>
        </w:rPr>
        <w:t>83</w:t>
      </w:r>
      <w:r>
        <w:rPr>
          <w:sz w:val="24"/>
        </w:rPr>
        <w:t xml:space="preserve">, 104727 (2025). </w:t>
      </w:r>
      <w:hyperlink r:id="rId87" w:history="1">
        <w:r>
          <w:rPr>
            <w:color w:val="0000FF"/>
            <w:sz w:val="24"/>
            <w:u w:val="single"/>
          </w:rPr>
          <w:t>https://doi.org/10.1016/j.ensm.2025.104727</w:t>
        </w:r>
      </w:hyperlink>
    </w:p>
    <w:p w14:paraId="4835AE6E" w14:textId="77777777" w:rsidR="000C2399" w:rsidRDefault="00753684" w:rsidP="00533892">
      <w:pPr>
        <w:pStyle w:val="EndNoteBibliography"/>
        <w:spacing w:before="120" w:after="120"/>
        <w:ind w:left="561" w:hanging="561"/>
        <w:rPr>
          <w:sz w:val="24"/>
        </w:rPr>
      </w:pPr>
      <w:r>
        <w:rPr>
          <w:rFonts w:hint="eastAsia"/>
          <w:sz w:val="24"/>
        </w:rPr>
        <w:t xml:space="preserve">[S31] </w:t>
      </w:r>
      <w:r>
        <w:rPr>
          <w:sz w:val="24"/>
        </w:rPr>
        <w:t xml:space="preserve">Y. Chen, Z. Deng, Y. Sun, Y. Li, H. Zhang et al. Ultrathin </w:t>
      </w:r>
      <w:proofErr w:type="spellStart"/>
      <w:r>
        <w:rPr>
          <w:sz w:val="24"/>
        </w:rPr>
        <w:t>zincophilic</w:t>
      </w:r>
      <w:proofErr w:type="spellEnd"/>
      <w:r>
        <w:rPr>
          <w:sz w:val="24"/>
        </w:rPr>
        <w:t xml:space="preserve"> interphase regulated electric double layer enabling highly stable aqueous zinc-ion batteries. Nano-Micro Lett. </w:t>
      </w:r>
      <w:r>
        <w:rPr>
          <w:b/>
          <w:sz w:val="24"/>
        </w:rPr>
        <w:t>16</w:t>
      </w:r>
      <w:r>
        <w:rPr>
          <w:sz w:val="24"/>
        </w:rPr>
        <w:t xml:space="preserve">(1), 96 (2024). </w:t>
      </w:r>
      <w:hyperlink r:id="rId88" w:history="1">
        <w:r>
          <w:rPr>
            <w:color w:val="0000FF"/>
            <w:sz w:val="24"/>
            <w:u w:val="single"/>
          </w:rPr>
          <w:t>https://doi.org/10.1007/s40820-023-01312-1</w:t>
        </w:r>
      </w:hyperlink>
    </w:p>
    <w:p w14:paraId="4E718069" w14:textId="77777777" w:rsidR="000C2399" w:rsidRDefault="00753684" w:rsidP="00533892">
      <w:pPr>
        <w:pStyle w:val="EndNoteBibliography"/>
        <w:spacing w:before="120" w:after="120"/>
        <w:ind w:left="561" w:hanging="561"/>
        <w:rPr>
          <w:sz w:val="24"/>
        </w:rPr>
      </w:pPr>
      <w:r>
        <w:rPr>
          <w:rFonts w:hint="eastAsia"/>
          <w:sz w:val="24"/>
        </w:rPr>
        <w:t xml:space="preserve">[S32] </w:t>
      </w:r>
      <w:r>
        <w:rPr>
          <w:sz w:val="24"/>
        </w:rPr>
        <w:t xml:space="preserve">Y. Zeng, X. Zhang, R. Qin, X. Liu, P. Fang et al. Dendrite‐free zinc deposition induced by multifunctional </w:t>
      </w:r>
      <w:proofErr w:type="spellStart"/>
      <w:r>
        <w:rPr>
          <w:sz w:val="24"/>
        </w:rPr>
        <w:t>cnt</w:t>
      </w:r>
      <w:proofErr w:type="spellEnd"/>
      <w:r>
        <w:rPr>
          <w:sz w:val="24"/>
        </w:rPr>
        <w:t xml:space="preserve"> frameworks for stable flexible Zn‐ion batteries. Adv. Mater. </w:t>
      </w:r>
      <w:r>
        <w:rPr>
          <w:b/>
          <w:sz w:val="24"/>
        </w:rPr>
        <w:t>31</w:t>
      </w:r>
      <w:r>
        <w:rPr>
          <w:sz w:val="24"/>
        </w:rPr>
        <w:t xml:space="preserve">(36), 1903675 (2019). </w:t>
      </w:r>
      <w:hyperlink r:id="rId89" w:history="1">
        <w:r>
          <w:rPr>
            <w:color w:val="0000FF"/>
            <w:sz w:val="24"/>
            <w:u w:val="single"/>
          </w:rPr>
          <w:t>https://doi.org/10.1002/adma.201903675</w:t>
        </w:r>
      </w:hyperlink>
    </w:p>
    <w:p w14:paraId="73581CCD" w14:textId="77777777" w:rsidR="000C2399" w:rsidRDefault="00753684" w:rsidP="00533892">
      <w:pPr>
        <w:pStyle w:val="EndNoteBibliography"/>
        <w:spacing w:before="120" w:after="120"/>
        <w:ind w:left="561" w:hanging="561"/>
        <w:rPr>
          <w:sz w:val="24"/>
        </w:rPr>
      </w:pPr>
      <w:r>
        <w:rPr>
          <w:rFonts w:hint="eastAsia"/>
          <w:sz w:val="24"/>
        </w:rPr>
        <w:t xml:space="preserve">[S33] </w:t>
      </w:r>
      <w:r>
        <w:rPr>
          <w:sz w:val="24"/>
        </w:rPr>
        <w:t xml:space="preserve">Q. Guan, J. Li, L. Li, P. Chai, Y. Li et al. In situ construction of organic anion-enriched interface achieves ultra-long life aqueous zinc-ion battery. Chem. Eng. J. </w:t>
      </w:r>
      <w:r>
        <w:rPr>
          <w:b/>
          <w:sz w:val="24"/>
        </w:rPr>
        <w:t>476</w:t>
      </w:r>
      <w:r>
        <w:rPr>
          <w:sz w:val="24"/>
        </w:rPr>
        <w:t xml:space="preserve">, 146534 (2023). </w:t>
      </w:r>
      <w:hyperlink r:id="rId90" w:history="1">
        <w:r>
          <w:rPr>
            <w:color w:val="0000FF"/>
            <w:sz w:val="24"/>
            <w:u w:val="single"/>
          </w:rPr>
          <w:t>https://doi.org/10.1016/j.cej.2023.146534</w:t>
        </w:r>
      </w:hyperlink>
    </w:p>
    <w:p w14:paraId="1655CA74" w14:textId="77777777" w:rsidR="000C2399" w:rsidRDefault="00753684" w:rsidP="00533892">
      <w:pPr>
        <w:pStyle w:val="EndNoteBibliography"/>
        <w:spacing w:before="120" w:after="120"/>
        <w:ind w:left="561" w:hanging="561"/>
        <w:rPr>
          <w:sz w:val="24"/>
        </w:rPr>
      </w:pPr>
      <w:r>
        <w:rPr>
          <w:rFonts w:hint="eastAsia"/>
          <w:sz w:val="24"/>
        </w:rPr>
        <w:t xml:space="preserve">[S34] </w:t>
      </w:r>
      <w:r>
        <w:rPr>
          <w:sz w:val="24"/>
        </w:rPr>
        <w:t xml:space="preserve">K. Wang, T. </w:t>
      </w:r>
      <w:proofErr w:type="spellStart"/>
      <w:r>
        <w:rPr>
          <w:sz w:val="24"/>
        </w:rPr>
        <w:t>Qiu</w:t>
      </w:r>
      <w:proofErr w:type="spellEnd"/>
      <w:r>
        <w:rPr>
          <w:sz w:val="24"/>
        </w:rPr>
        <w:t xml:space="preserve">, L. Lin, F. Liu, J. Zhu et al. Interface solvation regulation stabilizing the Zn metal anode in aqueous Zn batteries. Chem. Sci. </w:t>
      </w:r>
      <w:r>
        <w:rPr>
          <w:b/>
          <w:sz w:val="24"/>
        </w:rPr>
        <w:t>14</w:t>
      </w:r>
      <w:r>
        <w:rPr>
          <w:sz w:val="24"/>
        </w:rPr>
        <w:t xml:space="preserve">(30), 8076-8083 (2023). </w:t>
      </w:r>
      <w:hyperlink r:id="rId91" w:history="1">
        <w:r>
          <w:rPr>
            <w:color w:val="0000FF"/>
            <w:sz w:val="24"/>
            <w:u w:val="single"/>
          </w:rPr>
          <w:t>https://doi.org/10.1039/d3sc01831h</w:t>
        </w:r>
      </w:hyperlink>
    </w:p>
    <w:p w14:paraId="74447FDB" w14:textId="77777777" w:rsidR="000C2399" w:rsidRDefault="000C2399" w:rsidP="00533892">
      <w:pPr>
        <w:spacing w:before="120" w:after="120"/>
        <w:rPr>
          <w:rFonts w:ascii="Times New Roman" w:hAnsi="Times New Roman" w:cs="Times New Roman"/>
          <w:sz w:val="18"/>
          <w:szCs w:val="18"/>
        </w:rPr>
      </w:pPr>
    </w:p>
    <w:p w14:paraId="02E9EBD9" w14:textId="77777777" w:rsidR="000C2399" w:rsidRDefault="000C2399" w:rsidP="00533892">
      <w:pPr>
        <w:spacing w:before="120" w:after="120"/>
        <w:rPr>
          <w:rFonts w:ascii="Times New Roman" w:hAnsi="Times New Roman" w:cs="Times New Roman"/>
          <w:sz w:val="18"/>
          <w:szCs w:val="18"/>
        </w:rPr>
      </w:pPr>
    </w:p>
    <w:p w14:paraId="63099DE6" w14:textId="77777777" w:rsidR="000C2399" w:rsidRDefault="000C2399" w:rsidP="00533892">
      <w:pPr>
        <w:spacing w:before="120" w:after="120"/>
      </w:pPr>
    </w:p>
    <w:sectPr w:rsidR="000C2399">
      <w:headerReference w:type="default" r:id="rId92"/>
      <w:footerReference w:type="default" r:id="rId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0E5FF" w14:textId="77777777" w:rsidR="00BC3AA3" w:rsidRDefault="00BC3AA3">
      <w:r>
        <w:separator/>
      </w:r>
    </w:p>
  </w:endnote>
  <w:endnote w:type="continuationSeparator" w:id="0">
    <w:p w14:paraId="1A82B4D0" w14:textId="77777777" w:rsidR="00BC3AA3" w:rsidRDefault="00BC3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calaSansPro-Bold">
    <w:altName w:val="Segoe Print"/>
    <w:charset w:val="00"/>
    <w:family w:val="auto"/>
    <w:pitch w:val="default"/>
  </w:font>
  <w:font w:name="ScalaSansLF2-Regular">
    <w:altName w:val="Segoe Print"/>
    <w:charset w:val="00"/>
    <w:family w:val="auto"/>
    <w:pitch w:val="default"/>
  </w:font>
  <w:font w:name="AdvGulliv-R">
    <w:altName w:val="Segoe Print"/>
    <w:charset w:val="00"/>
    <w:family w:val="auto"/>
    <w:pitch w:val="default"/>
  </w:font>
  <w:font w:name="STIX-Regular">
    <w:altName w:val="Segoe Print"/>
    <w:charset w:val="00"/>
    <w:family w:val="auto"/>
    <w:pitch w:val="default"/>
  </w:font>
  <w:font w:name="AdvSCASF">
    <w:altName w:val="Segoe Print"/>
    <w:charset w:val="00"/>
    <w:family w:val="auto"/>
    <w:pitch w:val="default"/>
  </w:font>
  <w:font w:name="ScalaSansPro-Regular">
    <w:altName w:val="Segoe Print"/>
    <w:charset w:val="00"/>
    <w:family w:val="auto"/>
    <w:pitch w:val="default"/>
  </w:font>
  <w:font w:name="CharisSIL">
    <w:altName w:val="Segoe Print"/>
    <w:charset w:val="00"/>
    <w:family w:val="auto"/>
    <w:pitch w:val="default"/>
  </w:font>
  <w:font w:name="AdvOT9b12cd41">
    <w:altName w:val="Segoe Print"/>
    <w:charset w:val="00"/>
    <w:family w:val="auto"/>
    <w:pitch w:val="default"/>
  </w:font>
  <w:font w:name="AdvOT46dcae81">
    <w:altName w:val="Segoe Print"/>
    <w:charset w:val="00"/>
    <w:family w:val="auto"/>
    <w:pitch w:val="default"/>
  </w:font>
  <w:font w:name="MyriadPro-Regular">
    <w:altName w:val="Segoe Print"/>
    <w:charset w:val="00"/>
    <w:family w:val="auto"/>
    <w:pitch w:val="default"/>
  </w:font>
  <w:font w:name="ScalaSansLF-Bold">
    <w:altName w:val="Segoe Print"/>
    <w:charset w:val="00"/>
    <w:family w:val="auto"/>
    <w:pitch w:val="default"/>
  </w:font>
  <w:font w:name="AdvOTaa6301a5.B">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DAFDE" w14:textId="503E7922" w:rsidR="000C2399" w:rsidRPr="00750637" w:rsidRDefault="00750637" w:rsidP="00750637">
    <w:pPr>
      <w:pStyle w:val="a5"/>
      <w:jc w:val="center"/>
      <w:rPr>
        <w:rFonts w:ascii="Times New Roman" w:hAnsi="Times New Roman" w:cs="Times New Roman"/>
        <w:sz w:val="24"/>
        <w:szCs w:val="24"/>
      </w:rPr>
    </w:pPr>
    <w:sdt>
      <w:sdtPr>
        <w:rPr>
          <w:rFonts w:ascii="Times New Roman" w:hAnsi="Times New Roman" w:cs="Times New Roman"/>
          <w:sz w:val="24"/>
          <w:szCs w:val="24"/>
        </w:rPr>
        <w:id w:val="1366939185"/>
        <w:docPartObj>
          <w:docPartGallery w:val="Page Numbers (Bottom of Page)"/>
          <w:docPartUnique/>
        </w:docPartObj>
      </w:sdtPr>
      <w:sdtContent>
        <w:r w:rsidRPr="00750637">
          <w:rPr>
            <w:rFonts w:ascii="Times New Roman" w:hAnsi="Times New Roman" w:cs="Times New Roman"/>
            <w:sz w:val="24"/>
            <w:szCs w:val="24"/>
          </w:rPr>
          <w:t>S</w:t>
        </w:r>
        <w:r w:rsidRPr="00750637">
          <w:rPr>
            <w:rFonts w:ascii="Times New Roman" w:hAnsi="Times New Roman" w:cs="Times New Roman"/>
            <w:sz w:val="24"/>
            <w:szCs w:val="24"/>
          </w:rPr>
          <w:fldChar w:fldCharType="begin"/>
        </w:r>
        <w:r w:rsidRPr="00750637">
          <w:rPr>
            <w:rFonts w:ascii="Times New Roman" w:hAnsi="Times New Roman" w:cs="Times New Roman"/>
            <w:sz w:val="24"/>
            <w:szCs w:val="24"/>
          </w:rPr>
          <w:instrText>PAGE   \* MERGEFORMAT</w:instrText>
        </w:r>
        <w:r w:rsidRPr="00750637">
          <w:rPr>
            <w:rFonts w:ascii="Times New Roman" w:hAnsi="Times New Roman" w:cs="Times New Roman"/>
            <w:sz w:val="24"/>
            <w:szCs w:val="24"/>
          </w:rPr>
          <w:fldChar w:fldCharType="separate"/>
        </w:r>
        <w:r w:rsidRPr="00750637">
          <w:rPr>
            <w:rFonts w:ascii="Times New Roman" w:hAnsi="Times New Roman" w:cs="Times New Roman"/>
            <w:sz w:val="24"/>
            <w:szCs w:val="24"/>
            <w:lang w:val="zh-CN"/>
          </w:rPr>
          <w:t>2</w:t>
        </w:r>
        <w:r w:rsidRPr="00750637">
          <w:rPr>
            <w:rFonts w:ascii="Times New Roman" w:hAnsi="Times New Roman" w:cs="Times New Roman"/>
            <w:sz w:val="24"/>
            <w:szCs w:val="24"/>
          </w:rPr>
          <w:fldChar w:fldCharType="end"/>
        </w:r>
      </w:sdtContent>
    </w:sdt>
    <w:r w:rsidRPr="00750637">
      <w:rPr>
        <w:rFonts w:ascii="Times New Roman" w:hAnsi="Times New Roman" w:cs="Times New Roman"/>
        <w:sz w:val="24"/>
        <w:szCs w:val="24"/>
      </w:rPr>
      <w:t>/S22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8F90A" w14:textId="77777777" w:rsidR="00BC3AA3" w:rsidRDefault="00BC3AA3">
      <w:r>
        <w:separator/>
      </w:r>
    </w:p>
  </w:footnote>
  <w:footnote w:type="continuationSeparator" w:id="0">
    <w:p w14:paraId="732BB913" w14:textId="77777777" w:rsidR="00BC3AA3" w:rsidRDefault="00BC3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51D2" w14:textId="0EED5673" w:rsidR="00750637" w:rsidRPr="00750637" w:rsidRDefault="00750637">
    <w:pPr>
      <w:pStyle w:val="a7"/>
      <w:rPr>
        <w:rFonts w:ascii="Times New Roman" w:hAnsi="Times New Roman" w:cs="Times New Roman"/>
        <w:sz w:val="24"/>
        <w:szCs w:val="24"/>
      </w:rPr>
    </w:pPr>
    <w:hyperlink r:id="rId1" w:history="1">
      <w:r w:rsidRPr="00750637">
        <w:rPr>
          <w:rStyle w:val="ac"/>
          <w:rFonts w:ascii="Times New Roman" w:hAnsi="Times New Roman" w:cs="Times New Roman" w:hint="eastAsia"/>
          <w:sz w:val="24"/>
          <w:szCs w:val="24"/>
        </w:rPr>
        <w:t>N</w:t>
      </w:r>
      <w:r w:rsidRPr="00750637">
        <w:rPr>
          <w:rStyle w:val="ac"/>
          <w:rFonts w:ascii="Times New Roman" w:hAnsi="Times New Roman" w:cs="Times New Roman"/>
          <w:sz w:val="24"/>
          <w:szCs w:val="24"/>
        </w:rPr>
        <w:t>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62807368"/>
    <w:rsid w:val="000C2399"/>
    <w:rsid w:val="001924C3"/>
    <w:rsid w:val="00353522"/>
    <w:rsid w:val="00533892"/>
    <w:rsid w:val="00750637"/>
    <w:rsid w:val="00753684"/>
    <w:rsid w:val="00892AE3"/>
    <w:rsid w:val="00BC3AA3"/>
    <w:rsid w:val="0C087B18"/>
    <w:rsid w:val="314A536E"/>
    <w:rsid w:val="3262492C"/>
    <w:rsid w:val="3DCE6BF2"/>
    <w:rsid w:val="40F938F8"/>
    <w:rsid w:val="42894808"/>
    <w:rsid w:val="46873754"/>
    <w:rsid w:val="49594272"/>
    <w:rsid w:val="4DA370C6"/>
    <w:rsid w:val="54532EC8"/>
    <w:rsid w:val="62807368"/>
    <w:rsid w:val="69AA3132"/>
    <w:rsid w:val="6A554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2DBF6C9"/>
  <w15:docId w15:val="{CFD9237F-4995-4375-B40A-D9C74360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footer"/>
    <w:basedOn w:val="a"/>
    <w:link w:val="a6"/>
    <w:uiPriority w:val="99"/>
    <w:qFormat/>
    <w:pPr>
      <w:tabs>
        <w:tab w:val="center" w:pos="4153"/>
        <w:tab w:val="right" w:pos="8306"/>
      </w:tabs>
      <w:snapToGrid w:val="0"/>
      <w:jc w:val="left"/>
    </w:pPr>
    <w:rPr>
      <w:sz w:val="18"/>
      <w:szCs w:val="18"/>
    </w:rPr>
  </w:style>
  <w:style w:type="paragraph" w:styleId="a7">
    <w:name w:val="header"/>
    <w:basedOn w:val="a"/>
    <w:link w:val="a8"/>
    <w:qFormat/>
    <w:pPr>
      <w:tabs>
        <w:tab w:val="center" w:pos="4153"/>
        <w:tab w:val="right" w:pos="8306"/>
      </w:tabs>
      <w:snapToGrid w:val="0"/>
      <w:jc w:val="center"/>
    </w:pPr>
    <w:rPr>
      <w:sz w:val="18"/>
      <w:szCs w:val="18"/>
    </w:rPr>
  </w:style>
  <w:style w:type="paragraph" w:styleId="a9">
    <w:name w:val="annotation subject"/>
    <w:basedOn w:val="a3"/>
    <w:next w:val="a3"/>
    <w:link w:val="aa"/>
    <w:qFormat/>
    <w:rPr>
      <w:b/>
      <w:bCs/>
    </w:rPr>
  </w:style>
  <w:style w:type="table" w:styleId="ab">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qFormat/>
    <w:rPr>
      <w:color w:val="0000FF"/>
      <w:u w:val="single"/>
    </w:rPr>
  </w:style>
  <w:style w:type="character" w:styleId="ad">
    <w:name w:val="annotation reference"/>
    <w:basedOn w:val="a0"/>
    <w:qFormat/>
    <w:rPr>
      <w:sz w:val="21"/>
      <w:szCs w:val="21"/>
    </w:rPr>
  </w:style>
  <w:style w:type="paragraph" w:customStyle="1" w:styleId="EndNoteBibliographyTitle">
    <w:name w:val="EndNote Bibliography Title"/>
    <w:qFormat/>
    <w:pPr>
      <w:jc w:val="center"/>
    </w:pPr>
    <w:rPr>
      <w:rFonts w:ascii="Times New Roman" w:hAnsi="Times New Roman" w:cs="Times New Roman"/>
      <w:kern w:val="2"/>
      <w:szCs w:val="24"/>
    </w:rPr>
  </w:style>
  <w:style w:type="paragraph" w:customStyle="1" w:styleId="EndNoteBibliography">
    <w:name w:val="EndNote Bibliography"/>
    <w:qFormat/>
    <w:pPr>
      <w:jc w:val="both"/>
    </w:pPr>
    <w:rPr>
      <w:rFonts w:ascii="Times New Roman" w:hAnsi="Times New Roman" w:cs="Times New Roman"/>
      <w:kern w:val="2"/>
      <w:szCs w:val="24"/>
    </w:rPr>
  </w:style>
  <w:style w:type="paragraph" w:customStyle="1" w:styleId="Addresses">
    <w:name w:val="Addresses"/>
    <w:basedOn w:val="a"/>
    <w:qFormat/>
    <w:pPr>
      <w:widowControl/>
      <w:jc w:val="left"/>
    </w:pPr>
    <w:rPr>
      <w:rFonts w:ascii="Times New Roman" w:eastAsia="MS Mincho" w:hAnsi="Times New Roman" w:cs="Times New Roman"/>
      <w:kern w:val="0"/>
      <w:sz w:val="24"/>
      <w:lang w:eastAsia="ja-JP"/>
    </w:rPr>
  </w:style>
  <w:style w:type="paragraph" w:customStyle="1" w:styleId="1">
    <w:name w:val="修订1"/>
    <w:hidden/>
    <w:uiPriority w:val="99"/>
    <w:unhideWhenUsed/>
    <w:qFormat/>
    <w:rPr>
      <w:kern w:val="2"/>
      <w:sz w:val="21"/>
      <w:szCs w:val="24"/>
    </w:rPr>
  </w:style>
  <w:style w:type="character" w:customStyle="1" w:styleId="a8">
    <w:name w:val="页眉 字符"/>
    <w:basedOn w:val="a0"/>
    <w:link w:val="a7"/>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文字 字符"/>
    <w:basedOn w:val="a0"/>
    <w:link w:val="a3"/>
    <w:qFormat/>
  </w:style>
  <w:style w:type="character" w:customStyle="1" w:styleId="aa">
    <w:name w:val="批注主题 字符"/>
    <w:basedOn w:val="a4"/>
    <w:link w:val="a9"/>
    <w:qFormat/>
    <w:rPr>
      <w:b/>
      <w:bCs/>
    </w:rPr>
  </w:style>
  <w:style w:type="paragraph" w:customStyle="1" w:styleId="2">
    <w:name w:val="修订2"/>
    <w:hidden/>
    <w:uiPriority w:val="99"/>
    <w:unhideWhenUsed/>
    <w:qFormat/>
    <w:rPr>
      <w:kern w:val="2"/>
      <w:sz w:val="21"/>
      <w:szCs w:val="24"/>
    </w:rPr>
  </w:style>
  <w:style w:type="character" w:styleId="ae">
    <w:name w:val="FollowedHyperlink"/>
    <w:basedOn w:val="a0"/>
    <w:rsid w:val="00892AE3"/>
    <w:rPr>
      <w:color w:val="7E1FAD" w:themeColor="followedHyperlink"/>
      <w:u w:val="single"/>
    </w:rPr>
  </w:style>
  <w:style w:type="character" w:styleId="af">
    <w:name w:val="Unresolved Mention"/>
    <w:basedOn w:val="a0"/>
    <w:uiPriority w:val="99"/>
    <w:semiHidden/>
    <w:unhideWhenUsed/>
    <w:rsid w:val="00750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8.wmf"/><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hyperlink" Target="https://doi.org/10.1002/adfm.202504195" TargetMode="External"/><Relationship Id="rId68" Type="http://schemas.openxmlformats.org/officeDocument/2006/relationships/hyperlink" Target="https://doi.org/10.1002/anie.202214966" TargetMode="External"/><Relationship Id="rId84" Type="http://schemas.openxmlformats.org/officeDocument/2006/relationships/hyperlink" Target="https://doi.org/10.1002/anie.202403050" TargetMode="External"/><Relationship Id="rId89" Type="http://schemas.openxmlformats.org/officeDocument/2006/relationships/hyperlink" Target="https://doi.org/10.1002/adma.201903675" TargetMode="External"/><Relationship Id="rId16" Type="http://schemas.openxmlformats.org/officeDocument/2006/relationships/oleObject" Target="embeddings/oleObject5.bin"/><Relationship Id="rId11" Type="http://schemas.openxmlformats.org/officeDocument/2006/relationships/image" Target="media/image3.wmf"/><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hyperlink" Target="https://doi.org/10.1002/anie.202423252" TargetMode="External"/><Relationship Id="rId74" Type="http://schemas.openxmlformats.org/officeDocument/2006/relationships/hyperlink" Target="https://doi.org/10.1002/anie.202518262" TargetMode="External"/><Relationship Id="rId79" Type="http://schemas.openxmlformats.org/officeDocument/2006/relationships/hyperlink" Target="https://doi.org/10.1016/j.jcis.2025.138847" TargetMode="External"/><Relationship Id="rId5" Type="http://schemas.openxmlformats.org/officeDocument/2006/relationships/footnotes" Target="footnotes.xml"/><Relationship Id="rId90" Type="http://schemas.openxmlformats.org/officeDocument/2006/relationships/hyperlink" Target="https://doi.org/10.1016/j.cej.2023.146534" TargetMode="External"/><Relationship Id="rId95" Type="http://schemas.openxmlformats.org/officeDocument/2006/relationships/theme" Target="theme/theme1.xml"/><Relationship Id="rId22" Type="http://schemas.openxmlformats.org/officeDocument/2006/relationships/oleObject" Target="embeddings/oleObject8.bin"/><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hyperlink" Target="https://doi.org/10.1002/smll.202303906" TargetMode="External"/><Relationship Id="rId69" Type="http://schemas.openxmlformats.org/officeDocument/2006/relationships/hyperlink" Target="https://doi.org/10.1002/anie.202105756" TargetMode="External"/><Relationship Id="rId8" Type="http://schemas.openxmlformats.org/officeDocument/2006/relationships/oleObject" Target="embeddings/oleObject1.bin"/><Relationship Id="rId51" Type="http://schemas.openxmlformats.org/officeDocument/2006/relationships/image" Target="media/image36.png"/><Relationship Id="rId72" Type="http://schemas.openxmlformats.org/officeDocument/2006/relationships/hyperlink" Target="https://doi.org/10.1002/adfm.202422159" TargetMode="External"/><Relationship Id="rId80" Type="http://schemas.openxmlformats.org/officeDocument/2006/relationships/hyperlink" Target="https://doi.org/10.1016/j.cej.2025.167617" TargetMode="External"/><Relationship Id="rId85" Type="http://schemas.openxmlformats.org/officeDocument/2006/relationships/hyperlink" Target="https://doi.org/10.1021/acsnano.3c04155" TargetMode="External"/><Relationship Id="rId93"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hyperlink" Target="https://doi.org/10.1021/acsami.2c18154" TargetMode="External"/><Relationship Id="rId67" Type="http://schemas.openxmlformats.org/officeDocument/2006/relationships/hyperlink" Target="https://doi.org/10.1007/s40820-025-01826-w" TargetMode="External"/><Relationship Id="rId20" Type="http://schemas.openxmlformats.org/officeDocument/2006/relationships/oleObject" Target="embeddings/oleObject7.bin"/><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hyperlink" Target="https://doi.org/10.1002/adfm.202300795" TargetMode="External"/><Relationship Id="rId70" Type="http://schemas.openxmlformats.org/officeDocument/2006/relationships/hyperlink" Target="https://doi.org/10.1002/adma.202100445" TargetMode="External"/><Relationship Id="rId75" Type="http://schemas.openxmlformats.org/officeDocument/2006/relationships/hyperlink" Target="https://doi.org/10.1002/aenm.202103231" TargetMode="External"/><Relationship Id="rId83" Type="http://schemas.openxmlformats.org/officeDocument/2006/relationships/hyperlink" Target="https://doi.org/10.1021/jacs.2c00551" TargetMode="External"/><Relationship Id="rId88" Type="http://schemas.openxmlformats.org/officeDocument/2006/relationships/hyperlink" Target="https://doi.org/10.1007/s40820-023-01312-1" TargetMode="External"/><Relationship Id="rId91" Type="http://schemas.openxmlformats.org/officeDocument/2006/relationships/hyperlink" Target="https://doi.org/10.1039/d3sc01831h"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oleObject" Target="embeddings/oleObject2.bin"/><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hyperlink" Target="https://doi.org/10.1016/j.mtener.2023.101279" TargetMode="External"/><Relationship Id="rId65" Type="http://schemas.openxmlformats.org/officeDocument/2006/relationships/hyperlink" Target="https://doi.org/10.1002/anie.202302302" TargetMode="External"/><Relationship Id="rId73" Type="http://schemas.openxmlformats.org/officeDocument/2006/relationships/hyperlink" Target="https://doi.org/10.1002/adfm.202509652" TargetMode="External"/><Relationship Id="rId78" Type="http://schemas.openxmlformats.org/officeDocument/2006/relationships/hyperlink" Target="https://doi.org/10.1016/j.est.2025.118388" TargetMode="External"/><Relationship Id="rId81" Type="http://schemas.openxmlformats.org/officeDocument/2006/relationships/hyperlink" Target="https://doi.org/10.1039/d5ta04776e" TargetMode="External"/><Relationship Id="rId86" Type="http://schemas.openxmlformats.org/officeDocument/2006/relationships/hyperlink" Target="https://doi.org/10.1002/adfm.202401537"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hyperlink" Target="https://doi.org/10.1016/j.nanoen.2022.107145" TargetMode="External"/><Relationship Id="rId7" Type="http://schemas.openxmlformats.org/officeDocument/2006/relationships/image" Target="media/image1.wmf"/><Relationship Id="rId71" Type="http://schemas.openxmlformats.org/officeDocument/2006/relationships/hyperlink" Target="https://doi.org/10.1002/aenm.202301517" TargetMode="External"/><Relationship Id="rId92" Type="http://schemas.openxmlformats.org/officeDocument/2006/relationships/header" Target="header1.xml"/><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oleObject" Target="embeddings/oleObject9.bin"/><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hyperlink" Target="https://doi.org/10.1016/j.jechem.2025.02.066" TargetMode="External"/><Relationship Id="rId87" Type="http://schemas.openxmlformats.org/officeDocument/2006/relationships/hyperlink" Target="https://doi.org/10.1016/j.ensm.2025.104727" TargetMode="External"/><Relationship Id="rId61" Type="http://schemas.openxmlformats.org/officeDocument/2006/relationships/hyperlink" Target="https://doi.org/10.1002/adfm.202411477" TargetMode="External"/><Relationship Id="rId82" Type="http://schemas.openxmlformats.org/officeDocument/2006/relationships/hyperlink" Target="https://doi.org/10.1002/smtd.202500188" TargetMode="External"/><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hyperlink" Target="https://doi.org/10.1002/smll.202509633"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4288</Words>
  <Characters>24448</Characters>
  <Application>Microsoft Office Word</Application>
  <DocSecurity>0</DocSecurity>
  <Lines>203</Lines>
  <Paragraphs>57</Paragraphs>
  <ScaleCrop>false</ScaleCrop>
  <Company/>
  <LinksUpToDate>false</LinksUpToDate>
  <CharactersWithSpaces>28679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S.T.L.</dc:creator>
  <cp:lastModifiedBy>rhe</cp:lastModifiedBy>
  <cp:revision>6</cp:revision>
  <dcterms:created xsi:type="dcterms:W3CDTF">2026-07-06T04:51:00Z</dcterms:created>
  <dcterms:modified xsi:type="dcterms:W3CDTF">2026-07-08T02:07:00Z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CF0B5698166843599AAD6F77951A0BB6_11</vt:lpwstr>
  </property>
  <property fmtid="{D5CDD505-2E9C-101B-9397-08002B2CF9AE}" pid="4" name="KSOTemplateDocerSaveRecord">
    <vt:lpwstr>eyJoZGlkIjoiM2MyZGI0MTE1NzI0MmY2Y2E1ZmI5NzZlZTU1Yjk5OTciLCJ1c2VySWQiOiI0MjAwMzU4NzQifQ==</vt:lpwstr>
  </property>
</Properties>
</file>