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7AC08" w14:textId="6477A4A5" w:rsidR="0052323F" w:rsidRPr="00C66D04" w:rsidRDefault="00981750" w:rsidP="00107037">
      <w:pPr>
        <w:pStyle w:val="Title2"/>
        <w:spacing w:before="120" w:after="120" w:line="240" w:lineRule="auto"/>
        <w:rPr>
          <w:b w:val="0"/>
          <w:sz w:val="32"/>
          <w:szCs w:val="32"/>
        </w:rPr>
      </w:pPr>
      <w:r w:rsidRPr="00C66D04">
        <w:rPr>
          <w:b w:val="0"/>
        </w:rPr>
        <w:t>Supporting Information</w:t>
      </w:r>
      <w:r w:rsidR="00C66D04">
        <w:rPr>
          <w:b w:val="0"/>
        </w:rPr>
        <w:t xml:space="preserve"> for</w:t>
      </w:r>
    </w:p>
    <w:p w14:paraId="3A9FEEF5" w14:textId="77777777" w:rsidR="00107037" w:rsidRPr="002F557E" w:rsidRDefault="00107037" w:rsidP="00107037">
      <w:pPr>
        <w:spacing w:before="120" w:after="120" w:line="240" w:lineRule="auto"/>
        <w:ind w:firstLineChars="0" w:firstLine="0"/>
        <w:rPr>
          <w:b/>
          <w:bCs/>
          <w:sz w:val="28"/>
          <w:szCs w:val="22"/>
        </w:rPr>
      </w:pPr>
      <w:r w:rsidRPr="002F557E">
        <w:rPr>
          <w:b/>
          <w:bCs/>
          <w:sz w:val="28"/>
          <w:szCs w:val="22"/>
        </w:rPr>
        <w:t>A High-Performance Thermal Charging Cell with High Power Density and Long Runtime Enabled by Zn</w:t>
      </w:r>
      <w:r w:rsidRPr="002F557E">
        <w:rPr>
          <w:b/>
          <w:bCs/>
          <w:sz w:val="28"/>
          <w:szCs w:val="22"/>
          <w:vertAlign w:val="superscript"/>
        </w:rPr>
        <w:t>2+</w:t>
      </w:r>
      <w:r w:rsidRPr="002F557E">
        <w:rPr>
          <w:b/>
          <w:bCs/>
          <w:sz w:val="28"/>
          <w:szCs w:val="22"/>
        </w:rPr>
        <w:t xml:space="preserve"> and NH</w:t>
      </w:r>
      <w:r w:rsidRPr="002F557E">
        <w:rPr>
          <w:b/>
          <w:bCs/>
          <w:sz w:val="28"/>
          <w:szCs w:val="22"/>
          <w:vertAlign w:val="superscript"/>
        </w:rPr>
        <w:t>4+</w:t>
      </w:r>
      <w:r w:rsidRPr="002F557E">
        <w:rPr>
          <w:b/>
          <w:bCs/>
          <w:sz w:val="28"/>
          <w:szCs w:val="22"/>
        </w:rPr>
        <w:t xml:space="preserve"> Co-Insertion</w:t>
      </w:r>
    </w:p>
    <w:p w14:paraId="249F0113" w14:textId="77777777" w:rsidR="00107037" w:rsidRPr="002F557E" w:rsidRDefault="00107037" w:rsidP="00107037">
      <w:pPr>
        <w:spacing w:before="120" w:after="120" w:line="240" w:lineRule="auto"/>
        <w:ind w:firstLineChars="0" w:firstLine="0"/>
        <w:rPr>
          <w:iCs/>
          <w:sz w:val="24"/>
          <w:szCs w:val="24"/>
        </w:rPr>
      </w:pPr>
      <w:bookmarkStart w:id="0" w:name="OLE_LINK8"/>
      <w:bookmarkStart w:id="1" w:name="_Hlk186283272"/>
      <w:r w:rsidRPr="002F557E">
        <w:rPr>
          <w:iCs/>
          <w:sz w:val="24"/>
          <w:szCs w:val="24"/>
        </w:rPr>
        <w:t>Z</w:t>
      </w:r>
      <w:r w:rsidRPr="002F557E">
        <w:rPr>
          <w:rFonts w:hint="eastAsia"/>
          <w:iCs/>
          <w:sz w:val="24"/>
          <w:szCs w:val="24"/>
        </w:rPr>
        <w:t>hiwei</w:t>
      </w:r>
      <w:r w:rsidRPr="002F557E">
        <w:rPr>
          <w:iCs/>
          <w:sz w:val="24"/>
          <w:szCs w:val="24"/>
        </w:rPr>
        <w:t xml:space="preserve"> Han</w:t>
      </w:r>
      <w:r w:rsidRPr="002F557E">
        <w:rPr>
          <w:iCs/>
          <w:sz w:val="24"/>
          <w:szCs w:val="24"/>
          <w:vertAlign w:val="superscript"/>
        </w:rPr>
        <w:t>1</w:t>
      </w:r>
      <w:r w:rsidRPr="002F557E">
        <w:rPr>
          <w:sz w:val="24"/>
          <w:szCs w:val="24"/>
          <w:vertAlign w:val="superscript"/>
        </w:rPr>
        <w:t>#</w:t>
      </w:r>
      <w:r w:rsidRPr="002F557E">
        <w:rPr>
          <w:iCs/>
          <w:sz w:val="24"/>
          <w:szCs w:val="24"/>
        </w:rPr>
        <w:t xml:space="preserve">, </w:t>
      </w:r>
      <w:r w:rsidRPr="002F557E">
        <w:rPr>
          <w:rFonts w:hint="eastAsia"/>
          <w:iCs/>
          <w:sz w:val="24"/>
          <w:szCs w:val="24"/>
        </w:rPr>
        <w:t>Shengliang Zhang</w:t>
      </w:r>
      <w:bookmarkEnd w:id="0"/>
      <w:r w:rsidRPr="002F557E">
        <w:rPr>
          <w:iCs/>
          <w:sz w:val="24"/>
          <w:szCs w:val="24"/>
          <w:vertAlign w:val="superscript"/>
        </w:rPr>
        <w:t>1</w:t>
      </w:r>
      <w:r w:rsidRPr="002F557E">
        <w:rPr>
          <w:sz w:val="24"/>
          <w:szCs w:val="24"/>
          <w:vertAlign w:val="superscript"/>
        </w:rPr>
        <w:t>#</w:t>
      </w:r>
      <w:r w:rsidRPr="002F557E">
        <w:rPr>
          <w:iCs/>
          <w:sz w:val="24"/>
          <w:szCs w:val="24"/>
        </w:rPr>
        <w:t>*, Helang Huang</w:t>
      </w:r>
      <w:r w:rsidRPr="002F557E">
        <w:rPr>
          <w:iCs/>
          <w:sz w:val="24"/>
          <w:szCs w:val="24"/>
          <w:vertAlign w:val="superscript"/>
        </w:rPr>
        <w:t>1</w:t>
      </w:r>
      <w:r w:rsidRPr="002F557E">
        <w:rPr>
          <w:iCs/>
          <w:sz w:val="24"/>
          <w:szCs w:val="24"/>
        </w:rPr>
        <w:t>, Jing Wang</w:t>
      </w:r>
      <w:r w:rsidRPr="002F557E">
        <w:rPr>
          <w:iCs/>
          <w:sz w:val="24"/>
          <w:szCs w:val="24"/>
          <w:vertAlign w:val="superscript"/>
        </w:rPr>
        <w:t>1</w:t>
      </w:r>
      <w:r w:rsidRPr="002F557E">
        <w:rPr>
          <w:iCs/>
          <w:sz w:val="24"/>
          <w:szCs w:val="24"/>
        </w:rPr>
        <w:t>, Hui Dou</w:t>
      </w:r>
      <w:r w:rsidRPr="002F557E">
        <w:rPr>
          <w:iCs/>
          <w:sz w:val="24"/>
          <w:szCs w:val="24"/>
          <w:vertAlign w:val="superscript"/>
        </w:rPr>
        <w:t>1</w:t>
      </w:r>
      <w:r w:rsidRPr="002F557E">
        <w:rPr>
          <w:iCs/>
          <w:sz w:val="24"/>
          <w:szCs w:val="24"/>
        </w:rPr>
        <w:t>, Tianran Zhang</w:t>
      </w:r>
      <w:r w:rsidRPr="002F557E">
        <w:rPr>
          <w:iCs/>
          <w:sz w:val="24"/>
          <w:szCs w:val="24"/>
          <w:vertAlign w:val="superscript"/>
        </w:rPr>
        <w:t>2</w:t>
      </w:r>
      <w:r w:rsidRPr="002F557E">
        <w:rPr>
          <w:iCs/>
          <w:sz w:val="24"/>
          <w:szCs w:val="24"/>
        </w:rPr>
        <w:t xml:space="preserve">, </w:t>
      </w:r>
      <w:bookmarkStart w:id="2" w:name="OLE_LINK13"/>
      <w:r w:rsidRPr="002F557E">
        <w:rPr>
          <w:iCs/>
          <w:sz w:val="24"/>
          <w:szCs w:val="24"/>
        </w:rPr>
        <w:t>Xiaogang Zhang</w:t>
      </w:r>
      <w:bookmarkEnd w:id="2"/>
      <w:r w:rsidRPr="002F557E">
        <w:rPr>
          <w:iCs/>
          <w:sz w:val="24"/>
          <w:szCs w:val="24"/>
          <w:vertAlign w:val="superscript"/>
        </w:rPr>
        <w:t>1</w:t>
      </w:r>
      <w:r w:rsidRPr="002F557E">
        <w:rPr>
          <w:iCs/>
          <w:sz w:val="24"/>
          <w:szCs w:val="24"/>
        </w:rPr>
        <w:t>*</w:t>
      </w:r>
    </w:p>
    <w:bookmarkEnd w:id="1"/>
    <w:p w14:paraId="02F9081A" w14:textId="77777777" w:rsidR="00107037" w:rsidRPr="002F557E" w:rsidRDefault="00107037" w:rsidP="00107037">
      <w:pPr>
        <w:adjustRightInd w:val="0"/>
        <w:snapToGrid w:val="0"/>
        <w:spacing w:before="120" w:after="120" w:line="240" w:lineRule="auto"/>
        <w:ind w:firstLineChars="0" w:firstLine="0"/>
        <w:rPr>
          <w:rFonts w:eastAsia="宋体"/>
          <w:bCs/>
          <w:iCs/>
          <w:sz w:val="24"/>
          <w:szCs w:val="24"/>
        </w:rPr>
      </w:pPr>
      <w:r w:rsidRPr="002F557E">
        <w:rPr>
          <w:bCs/>
          <w:iCs/>
          <w:sz w:val="24"/>
          <w:szCs w:val="24"/>
          <w:vertAlign w:val="superscript"/>
          <w:lang w:val="en-GB"/>
        </w:rPr>
        <w:t>1</w:t>
      </w:r>
      <w:r w:rsidRPr="002F557E">
        <w:rPr>
          <w:bCs/>
          <w:iCs/>
          <w:sz w:val="24"/>
          <w:szCs w:val="24"/>
          <w:lang w:val="en-GB"/>
        </w:rPr>
        <w:t xml:space="preserve"> Jiangsu Key Laboratory of Electrochemical Energy Storage Technologies, College of Material Science and Technology, Nanjing University of Aeronautics and Astronautics, Nanjing 211106, </w:t>
      </w:r>
      <w:r>
        <w:rPr>
          <w:bCs/>
          <w:iCs/>
          <w:sz w:val="24"/>
          <w:szCs w:val="24"/>
          <w:lang w:val="en-GB"/>
        </w:rPr>
        <w:t xml:space="preserve">P. R. </w:t>
      </w:r>
      <w:r w:rsidRPr="002F557E">
        <w:rPr>
          <w:bCs/>
          <w:iCs/>
          <w:sz w:val="24"/>
          <w:szCs w:val="24"/>
          <w:lang w:val="en-GB"/>
        </w:rPr>
        <w:t>China</w:t>
      </w:r>
    </w:p>
    <w:p w14:paraId="26B88AE3" w14:textId="77777777" w:rsidR="00107037" w:rsidRPr="002F557E" w:rsidRDefault="00107037" w:rsidP="00107037">
      <w:pPr>
        <w:spacing w:before="120" w:after="120" w:line="240" w:lineRule="auto"/>
        <w:ind w:firstLineChars="0" w:firstLine="0"/>
        <w:rPr>
          <w:iCs/>
          <w:sz w:val="24"/>
          <w:szCs w:val="24"/>
        </w:rPr>
      </w:pPr>
      <w:bookmarkStart w:id="3" w:name="_Hlk171019240"/>
      <w:r w:rsidRPr="002F557E">
        <w:rPr>
          <w:iCs/>
          <w:sz w:val="24"/>
          <w:szCs w:val="24"/>
          <w:vertAlign w:val="superscript"/>
        </w:rPr>
        <w:t>2</w:t>
      </w:r>
      <w:r w:rsidRPr="002F557E">
        <w:rPr>
          <w:iCs/>
          <w:sz w:val="24"/>
          <w:szCs w:val="24"/>
        </w:rPr>
        <w:t xml:space="preserve"> College of Material Science and Opto-Electronic Technology, University of Chinese Academy of Sciences, Beijing 100049, </w:t>
      </w:r>
      <w:r>
        <w:rPr>
          <w:bCs/>
          <w:iCs/>
          <w:sz w:val="24"/>
          <w:szCs w:val="24"/>
          <w:lang w:val="en-GB"/>
        </w:rPr>
        <w:t xml:space="preserve">P. R. </w:t>
      </w:r>
      <w:r w:rsidRPr="002F557E">
        <w:rPr>
          <w:iCs/>
          <w:sz w:val="24"/>
          <w:szCs w:val="24"/>
        </w:rPr>
        <w:t xml:space="preserve">China </w:t>
      </w:r>
    </w:p>
    <w:bookmarkEnd w:id="3"/>
    <w:p w14:paraId="10B4FE36" w14:textId="77777777" w:rsidR="00107037" w:rsidRPr="00782EB9" w:rsidRDefault="00107037" w:rsidP="00107037">
      <w:pPr>
        <w:spacing w:before="120" w:after="120" w:line="240" w:lineRule="auto"/>
        <w:ind w:firstLineChars="0" w:firstLine="0"/>
        <w:rPr>
          <w:rFonts w:eastAsiaTheme="minorEastAsia" w:cs="Times New Roman"/>
          <w:sz w:val="24"/>
          <w:szCs w:val="24"/>
        </w:rPr>
      </w:pPr>
      <w:r w:rsidRPr="002F557E">
        <w:rPr>
          <w:rFonts w:eastAsia="楷体_GB2312"/>
          <w:bCs/>
          <w:kern w:val="44"/>
          <w:sz w:val="24"/>
          <w:szCs w:val="24"/>
          <w:vertAlign w:val="superscript"/>
        </w:rPr>
        <w:t xml:space="preserve"># </w:t>
      </w:r>
      <w:r w:rsidRPr="002F557E">
        <w:rPr>
          <w:iCs/>
          <w:sz w:val="24"/>
          <w:szCs w:val="24"/>
        </w:rPr>
        <w:t>Z</w:t>
      </w:r>
      <w:r w:rsidRPr="002F557E">
        <w:rPr>
          <w:rFonts w:hint="eastAsia"/>
          <w:iCs/>
          <w:sz w:val="24"/>
          <w:szCs w:val="24"/>
        </w:rPr>
        <w:t>hiwei</w:t>
      </w:r>
      <w:r w:rsidRPr="002F557E">
        <w:rPr>
          <w:iCs/>
          <w:sz w:val="24"/>
          <w:szCs w:val="24"/>
        </w:rPr>
        <w:t xml:space="preserve"> Han</w:t>
      </w:r>
      <w:r>
        <w:rPr>
          <w:rFonts w:eastAsiaTheme="minorEastAsia" w:hint="eastAsia"/>
          <w:iCs/>
          <w:sz w:val="24"/>
          <w:szCs w:val="24"/>
        </w:rPr>
        <w:t xml:space="preserve"> and</w:t>
      </w:r>
      <w:r w:rsidRPr="002F557E">
        <w:rPr>
          <w:iCs/>
          <w:sz w:val="24"/>
          <w:szCs w:val="24"/>
        </w:rPr>
        <w:t xml:space="preserve"> </w:t>
      </w:r>
      <w:r w:rsidRPr="002F557E">
        <w:rPr>
          <w:rFonts w:hint="eastAsia"/>
          <w:iCs/>
          <w:sz w:val="24"/>
          <w:szCs w:val="24"/>
        </w:rPr>
        <w:t>Shengliang Zhang</w:t>
      </w:r>
      <w:r w:rsidRPr="002F557E" w:rsidDel="00441B52">
        <w:rPr>
          <w:sz w:val="24"/>
          <w:szCs w:val="24"/>
        </w:rPr>
        <w:t xml:space="preserve"> </w:t>
      </w:r>
      <w:r w:rsidRPr="002F557E">
        <w:rPr>
          <w:sz w:val="24"/>
          <w:szCs w:val="24"/>
        </w:rPr>
        <w:t>contribute equally to this work</w:t>
      </w:r>
      <w:r>
        <w:rPr>
          <w:rFonts w:eastAsiaTheme="minorEastAsia" w:hint="eastAsia"/>
          <w:sz w:val="24"/>
          <w:szCs w:val="24"/>
        </w:rPr>
        <w:t>.</w:t>
      </w:r>
    </w:p>
    <w:p w14:paraId="4051013E" w14:textId="77777777" w:rsidR="00107037" w:rsidRDefault="00107037" w:rsidP="00892458">
      <w:pPr>
        <w:widowControl/>
        <w:spacing w:before="120" w:after="120" w:line="240" w:lineRule="auto"/>
        <w:ind w:firstLineChars="0" w:firstLine="0"/>
        <w:jc w:val="left"/>
        <w:rPr>
          <w:iCs/>
          <w:sz w:val="24"/>
          <w:szCs w:val="24"/>
        </w:rPr>
      </w:pPr>
      <w:r w:rsidRPr="002F557E">
        <w:rPr>
          <w:iCs/>
          <w:sz w:val="24"/>
          <w:szCs w:val="24"/>
        </w:rPr>
        <w:t>*Corresponding author</w:t>
      </w:r>
      <w:r>
        <w:rPr>
          <w:rFonts w:eastAsiaTheme="minorEastAsia" w:hint="eastAsia"/>
          <w:iCs/>
          <w:sz w:val="24"/>
          <w:szCs w:val="24"/>
        </w:rPr>
        <w:t>s.</w:t>
      </w:r>
      <w:r w:rsidRPr="002F557E">
        <w:rPr>
          <w:iCs/>
          <w:sz w:val="24"/>
          <w:szCs w:val="24"/>
        </w:rPr>
        <w:t xml:space="preserve"> E</w:t>
      </w:r>
      <w:r>
        <w:rPr>
          <w:rFonts w:eastAsiaTheme="minorEastAsia" w:hint="eastAsia"/>
          <w:iCs/>
          <w:sz w:val="24"/>
          <w:szCs w:val="24"/>
        </w:rPr>
        <w:t>-</w:t>
      </w:r>
      <w:r w:rsidRPr="002F557E">
        <w:rPr>
          <w:iCs/>
          <w:sz w:val="24"/>
          <w:szCs w:val="24"/>
        </w:rPr>
        <w:t xml:space="preserve">mail: </w:t>
      </w:r>
      <w:hyperlink r:id="rId6" w:history="1">
        <w:r w:rsidRPr="002445BC">
          <w:rPr>
            <w:rStyle w:val="a9"/>
            <w:iCs/>
            <w:sz w:val="24"/>
            <w:szCs w:val="24"/>
          </w:rPr>
          <w:t>zhangsl@nuaa.edu.cn</w:t>
        </w:r>
      </w:hyperlink>
      <w:r>
        <w:rPr>
          <w:rFonts w:eastAsiaTheme="minorEastAsia" w:hint="eastAsia"/>
          <w:iCs/>
          <w:sz w:val="24"/>
          <w:szCs w:val="24"/>
        </w:rPr>
        <w:t xml:space="preserve"> </w:t>
      </w:r>
      <w:r>
        <w:rPr>
          <w:rFonts w:eastAsiaTheme="minorEastAsia"/>
          <w:iCs/>
          <w:sz w:val="24"/>
          <w:szCs w:val="24"/>
        </w:rPr>
        <w:t>(</w:t>
      </w:r>
      <w:r w:rsidRPr="002F557E">
        <w:rPr>
          <w:rFonts w:hint="eastAsia"/>
          <w:iCs/>
          <w:sz w:val="24"/>
          <w:szCs w:val="24"/>
        </w:rPr>
        <w:t>Shengliang Zhang</w:t>
      </w:r>
      <w:r>
        <w:rPr>
          <w:iCs/>
          <w:sz w:val="24"/>
          <w:szCs w:val="24"/>
        </w:rPr>
        <w:t>);</w:t>
      </w:r>
      <w:r w:rsidRPr="002F557E">
        <w:rPr>
          <w:iCs/>
          <w:sz w:val="24"/>
          <w:szCs w:val="24"/>
        </w:rPr>
        <w:t xml:space="preserve"> </w:t>
      </w:r>
      <w:hyperlink r:id="rId7" w:history="1">
        <w:r w:rsidRPr="002445BC">
          <w:rPr>
            <w:rStyle w:val="a9"/>
            <w:iCs/>
            <w:sz w:val="24"/>
            <w:szCs w:val="24"/>
          </w:rPr>
          <w:t>azhangxg@nuaa.edu.cn</w:t>
        </w:r>
      </w:hyperlink>
      <w:r>
        <w:rPr>
          <w:rFonts w:eastAsiaTheme="minorEastAsia" w:hint="eastAsia"/>
          <w:iCs/>
          <w:sz w:val="24"/>
          <w:szCs w:val="24"/>
        </w:rPr>
        <w:t xml:space="preserve"> </w:t>
      </w:r>
      <w:r>
        <w:rPr>
          <w:rFonts w:eastAsiaTheme="minorEastAsia"/>
          <w:iCs/>
          <w:sz w:val="24"/>
          <w:szCs w:val="24"/>
        </w:rPr>
        <w:t>(</w:t>
      </w:r>
      <w:r w:rsidRPr="002F557E">
        <w:rPr>
          <w:iCs/>
          <w:sz w:val="24"/>
          <w:szCs w:val="24"/>
        </w:rPr>
        <w:t>Xiaogang Zhang</w:t>
      </w:r>
      <w:r>
        <w:rPr>
          <w:iCs/>
          <w:sz w:val="24"/>
          <w:szCs w:val="24"/>
        </w:rPr>
        <w:t>)</w:t>
      </w:r>
    </w:p>
    <w:p w14:paraId="47A35248" w14:textId="01B85352" w:rsidR="0052323F" w:rsidRDefault="00892458" w:rsidP="00107037">
      <w:pPr>
        <w:widowControl/>
        <w:spacing w:before="120" w:after="120" w:line="240" w:lineRule="auto"/>
        <w:ind w:firstLineChars="0" w:firstLine="0"/>
        <w:rPr>
          <w:rFonts w:ascii="宋体" w:eastAsia="宋体" w:hAnsi="宋体" w:cs="宋体"/>
          <w:kern w:val="0"/>
          <w:sz w:val="24"/>
          <w:szCs w:val="24"/>
        </w:rPr>
      </w:pPr>
      <w:r>
        <w:rPr>
          <w:rFonts w:eastAsia="宋体" w:cs="Times New Roman"/>
          <w:b/>
          <w:bCs/>
          <w:kern w:val="0"/>
          <w:sz w:val="28"/>
          <w:szCs w:val="28"/>
        </w:rPr>
        <w:t xml:space="preserve">S1 </w:t>
      </w:r>
      <w:r w:rsidR="00981750">
        <w:rPr>
          <w:rFonts w:eastAsia="宋体" w:cs="Times New Roman"/>
          <w:b/>
          <w:bCs/>
          <w:kern w:val="0"/>
          <w:sz w:val="28"/>
          <w:szCs w:val="28"/>
        </w:rPr>
        <w:t xml:space="preserve">Experimental Section </w:t>
      </w:r>
    </w:p>
    <w:p w14:paraId="5F987D0E" w14:textId="391D3445" w:rsidR="0052323F" w:rsidRDefault="00892458" w:rsidP="00107037">
      <w:pPr>
        <w:widowControl/>
        <w:spacing w:before="120" w:after="120" w:line="240" w:lineRule="auto"/>
        <w:ind w:firstLineChars="0" w:firstLine="0"/>
        <w:rPr>
          <w:rFonts w:eastAsia="MS Mincho" w:cs="Times New Roman"/>
          <w:i/>
          <w:iCs/>
          <w:kern w:val="0"/>
          <w:sz w:val="24"/>
          <w:szCs w:val="24"/>
          <w:lang w:eastAsia="ja-JP"/>
        </w:rPr>
      </w:pPr>
      <w:r>
        <w:rPr>
          <w:rFonts w:eastAsia="宋体" w:cs="Times New Roman"/>
          <w:b/>
          <w:bCs/>
          <w:kern w:val="0"/>
          <w:sz w:val="24"/>
          <w:szCs w:val="24"/>
        </w:rPr>
        <w:t xml:space="preserve">S1.1 </w:t>
      </w:r>
      <w:r w:rsidR="00981750">
        <w:rPr>
          <w:rFonts w:eastAsia="宋体" w:cs="Times New Roman"/>
          <w:b/>
          <w:bCs/>
          <w:kern w:val="0"/>
          <w:sz w:val="24"/>
          <w:szCs w:val="24"/>
        </w:rPr>
        <w:t>Preparation of quasi-solid-state hydrogel electrolyte</w:t>
      </w:r>
    </w:p>
    <w:p w14:paraId="78026750" w14:textId="77777777" w:rsidR="0052323F" w:rsidRDefault="00981750" w:rsidP="00107037">
      <w:pPr>
        <w:widowControl/>
        <w:spacing w:before="120" w:after="120" w:line="240" w:lineRule="auto"/>
        <w:ind w:firstLineChars="0" w:firstLine="0"/>
        <w:rPr>
          <w:rFonts w:eastAsia="MS Mincho" w:cs="Times New Roman"/>
          <w:kern w:val="0"/>
          <w:sz w:val="24"/>
          <w:szCs w:val="24"/>
          <w:lang w:eastAsia="ja-JP"/>
        </w:rPr>
      </w:pPr>
      <w:r>
        <w:rPr>
          <w:rFonts w:eastAsia="MS Mincho" w:cs="Times New Roman"/>
          <w:kern w:val="0"/>
          <w:sz w:val="24"/>
          <w:szCs w:val="24"/>
          <w:lang w:eastAsia="ja-JP"/>
        </w:rPr>
        <w:t>The hydrogel was prepared by dispersing 2 g acrylamide (AM), 1.2 mg N,N′-methylenebisacrylamide</w:t>
      </w:r>
      <w:r>
        <w:rPr>
          <w:rFonts w:eastAsia="MS Mincho" w:cs="Times New Roman" w:hint="eastAsia"/>
          <w:kern w:val="0"/>
          <w:sz w:val="24"/>
          <w:szCs w:val="24"/>
          <w:lang w:eastAsia="ja-JP"/>
        </w:rPr>
        <w:t xml:space="preserve"> </w:t>
      </w:r>
      <w:r>
        <w:rPr>
          <w:rFonts w:eastAsia="MS Mincho" w:cs="Times New Roman"/>
          <w:kern w:val="0"/>
          <w:sz w:val="24"/>
          <w:szCs w:val="24"/>
          <w:lang w:eastAsia="ja-JP"/>
        </w:rPr>
        <w:t>(MBA) and 8 μL N,N,N′,N</w:t>
      </w:r>
      <w:r>
        <w:rPr>
          <w:rFonts w:eastAsia="MS Mincho" w:cs="Times New Roman"/>
          <w:kern w:val="0"/>
          <w:sz w:val="24"/>
          <w:szCs w:val="24"/>
          <w:lang w:eastAsia="ja-JP"/>
        </w:rPr>
        <w:t>′-Tetramethylethylenediamine (TMEDA) in an ice bath to deionized water in turn, and finally adding 0.18 g potassium persulfate (</w:t>
      </w:r>
      <w:r>
        <w:rPr>
          <w:rFonts w:eastAsia="MS Mincho" w:cs="Times New Roman" w:hint="eastAsia"/>
          <w:kern w:val="0"/>
          <w:sz w:val="24"/>
          <w:szCs w:val="24"/>
          <w:shd w:val="clear" w:color="auto" w:fill="FFFFFF"/>
          <w:lang w:eastAsia="ja-JP"/>
        </w:rPr>
        <w:t>K</w:t>
      </w:r>
      <w:r>
        <w:rPr>
          <w:rFonts w:eastAsia="MS Mincho" w:cs="Times New Roman"/>
          <w:kern w:val="0"/>
          <w:sz w:val="24"/>
          <w:szCs w:val="24"/>
          <w:shd w:val="clear" w:color="auto" w:fill="FFFFFF"/>
          <w:vertAlign w:val="subscript"/>
          <w:lang w:eastAsia="ja-JP"/>
        </w:rPr>
        <w:t>2</w:t>
      </w:r>
      <w:r>
        <w:rPr>
          <w:rFonts w:eastAsia="MS Mincho" w:cs="Times New Roman"/>
          <w:kern w:val="0"/>
          <w:sz w:val="24"/>
          <w:szCs w:val="24"/>
          <w:shd w:val="clear" w:color="auto" w:fill="FFFFFF"/>
          <w:lang w:eastAsia="ja-JP"/>
        </w:rPr>
        <w:t>S</w:t>
      </w:r>
      <w:r>
        <w:rPr>
          <w:rFonts w:eastAsia="MS Mincho" w:cs="Times New Roman"/>
          <w:kern w:val="0"/>
          <w:sz w:val="24"/>
          <w:szCs w:val="24"/>
          <w:shd w:val="clear" w:color="auto" w:fill="FFFFFF"/>
          <w:vertAlign w:val="subscript"/>
          <w:lang w:eastAsia="ja-JP"/>
        </w:rPr>
        <w:t>2</w:t>
      </w:r>
      <w:r>
        <w:rPr>
          <w:rFonts w:eastAsia="MS Mincho" w:cs="Times New Roman"/>
          <w:kern w:val="0"/>
          <w:sz w:val="24"/>
          <w:szCs w:val="24"/>
          <w:shd w:val="clear" w:color="auto" w:fill="FFFFFF"/>
          <w:lang w:eastAsia="ja-JP"/>
        </w:rPr>
        <w:t>O</w:t>
      </w:r>
      <w:r>
        <w:rPr>
          <w:rFonts w:eastAsia="MS Mincho" w:cs="Times New Roman"/>
          <w:kern w:val="0"/>
          <w:sz w:val="24"/>
          <w:szCs w:val="24"/>
          <w:shd w:val="clear" w:color="auto" w:fill="FFFFFF"/>
          <w:vertAlign w:val="subscript"/>
          <w:lang w:eastAsia="ja-JP"/>
        </w:rPr>
        <w:t>8</w:t>
      </w:r>
      <w:r>
        <w:rPr>
          <w:rFonts w:eastAsia="MS Mincho" w:cs="Times New Roman"/>
          <w:kern w:val="0"/>
          <w:sz w:val="24"/>
          <w:szCs w:val="24"/>
          <w:shd w:val="clear" w:color="auto" w:fill="FFFFFF"/>
          <w:lang w:eastAsia="ja-JP"/>
        </w:rPr>
        <w:t>)</w:t>
      </w:r>
      <w:r>
        <w:rPr>
          <w:rFonts w:eastAsia="MS Mincho" w:cs="Times New Roman"/>
          <w:kern w:val="0"/>
          <w:sz w:val="24"/>
          <w:szCs w:val="24"/>
          <w:lang w:eastAsia="ja-JP"/>
        </w:rPr>
        <w:t>, stirring violently, and polymerizing under ultraviolet lamp (60 W, 365 nm) for 25 minutes. Finally, a transparent and f</w:t>
      </w:r>
      <w:r>
        <w:rPr>
          <w:rFonts w:eastAsia="MS Mincho" w:cs="Times New Roman"/>
          <w:kern w:val="0"/>
          <w:sz w:val="24"/>
          <w:szCs w:val="24"/>
          <w:lang w:eastAsia="ja-JP"/>
        </w:rPr>
        <w:t>lexible PAM gel was prepared by soaking in a hybrid solution of 0.25 M ZnSO₄ and 0.5 M (NH₄)₂SO₄.</w:t>
      </w:r>
    </w:p>
    <w:p w14:paraId="0F42511E" w14:textId="03B5AF25" w:rsidR="0052323F" w:rsidRDefault="00892458" w:rsidP="00107037">
      <w:pPr>
        <w:widowControl/>
        <w:spacing w:before="120" w:after="120" w:line="240" w:lineRule="auto"/>
        <w:ind w:firstLineChars="0" w:firstLine="0"/>
        <w:rPr>
          <w:rFonts w:eastAsia="宋体" w:cs="Times New Roman"/>
          <w:b/>
          <w:bCs/>
          <w:kern w:val="0"/>
          <w:sz w:val="24"/>
          <w:szCs w:val="24"/>
        </w:rPr>
      </w:pPr>
      <w:r>
        <w:rPr>
          <w:rFonts w:eastAsia="宋体" w:cs="Times New Roman"/>
          <w:b/>
          <w:bCs/>
          <w:kern w:val="0"/>
          <w:sz w:val="24"/>
          <w:szCs w:val="24"/>
        </w:rPr>
        <w:t xml:space="preserve">S1.2 </w:t>
      </w:r>
      <w:r w:rsidR="00981750">
        <w:rPr>
          <w:rFonts w:eastAsia="宋体" w:cs="Times New Roman"/>
          <w:b/>
          <w:bCs/>
          <w:kern w:val="0"/>
          <w:sz w:val="24"/>
          <w:szCs w:val="24"/>
        </w:rPr>
        <w:t>Materials Characterizations</w:t>
      </w:r>
    </w:p>
    <w:p w14:paraId="7E2E927C" w14:textId="77777777" w:rsidR="0052323F" w:rsidRDefault="00981750" w:rsidP="00107037">
      <w:pPr>
        <w:widowControl/>
        <w:spacing w:before="120" w:after="120" w:line="240" w:lineRule="auto"/>
        <w:ind w:firstLineChars="0" w:firstLine="0"/>
        <w:rPr>
          <w:rFonts w:eastAsia="宋体" w:cs="Times New Roman"/>
          <w:b/>
          <w:bCs/>
          <w:kern w:val="0"/>
          <w:sz w:val="24"/>
          <w:szCs w:val="24"/>
        </w:rPr>
      </w:pPr>
      <w:r>
        <w:rPr>
          <w:rFonts w:eastAsia="MS Mincho" w:cs="Times New Roman"/>
          <w:kern w:val="0"/>
          <w:sz w:val="24"/>
          <w:szCs w:val="24"/>
          <w:lang w:eastAsia="ja-JP"/>
        </w:rPr>
        <w:t>The morphology of the as-obtained materials was observed by scanning electron microscope measurement (SEM, Scios 2 HiVac QUANTAX 2</w:t>
      </w:r>
      <w:r>
        <w:rPr>
          <w:rFonts w:eastAsia="MS Mincho" w:cs="Times New Roman"/>
          <w:kern w:val="0"/>
          <w:sz w:val="24"/>
          <w:szCs w:val="24"/>
          <w:lang w:eastAsia="ja-JP"/>
        </w:rPr>
        <w:t>00 with XFlash®6|60). X-ray diffraction (XRD) patterns were recorded from a PANaly-tical Empyrean diffractometer with Cu Kα radiation (λ = 1.5406Å). The surface chemical states of samples were detected by X-ray photo-electron spectrometer (XPS, Thermo Scie</w:t>
      </w:r>
      <w:r>
        <w:rPr>
          <w:rFonts w:eastAsia="MS Mincho" w:cs="Times New Roman"/>
          <w:kern w:val="0"/>
          <w:sz w:val="24"/>
          <w:szCs w:val="24"/>
          <w:lang w:eastAsia="ja-JP"/>
        </w:rPr>
        <w:t xml:space="preserve">ntific K-Alpha). The Raman spectra were collected by the Horiba Scientific LabRAM HR with an excitation wavelength of 532 nm. Thermogravimetric analysis (TGA) curve was recorded on aMettler-Toledo STARe SW15.00 analyzer with a heating rate of 10 </w:t>
      </w:r>
      <w:r>
        <w:rPr>
          <w:rFonts w:eastAsia="MS Mincho" w:cs="Times New Roman"/>
          <w:kern w:val="0"/>
          <w:sz w:val="24"/>
          <w:szCs w:val="24"/>
          <w:vertAlign w:val="superscript"/>
          <w:lang w:eastAsia="ja-JP"/>
        </w:rPr>
        <w:t>o</w:t>
      </w:r>
      <w:r>
        <w:rPr>
          <w:rFonts w:eastAsia="MS Mincho" w:cs="Times New Roman"/>
          <w:kern w:val="0"/>
          <w:sz w:val="24"/>
          <w:szCs w:val="24"/>
          <w:lang w:eastAsia="ja-JP"/>
        </w:rPr>
        <w:t>C min</w:t>
      </w:r>
      <w:r>
        <w:rPr>
          <w:rFonts w:eastAsia="MS Mincho" w:cs="Times New Roman"/>
          <w:kern w:val="0"/>
          <w:sz w:val="24"/>
          <w:szCs w:val="24"/>
          <w:vertAlign w:val="superscript"/>
          <w:lang w:eastAsia="ja-JP"/>
        </w:rPr>
        <w:t>−</w:t>
      </w:r>
      <w:r>
        <w:rPr>
          <w:rFonts w:eastAsia="MS Mincho" w:cs="Times New Roman"/>
          <w:kern w:val="0"/>
          <w:sz w:val="24"/>
          <w:szCs w:val="24"/>
          <w:vertAlign w:val="superscript"/>
          <w:lang w:eastAsia="ja-JP"/>
        </w:rPr>
        <w:t>1</w:t>
      </w:r>
      <w:r>
        <w:rPr>
          <w:rFonts w:eastAsia="MS Mincho" w:cs="Times New Roman"/>
          <w:kern w:val="0"/>
          <w:sz w:val="24"/>
          <w:szCs w:val="24"/>
          <w:lang w:eastAsia="ja-JP"/>
        </w:rPr>
        <w:t xml:space="preserve"> u</w:t>
      </w:r>
      <w:r>
        <w:rPr>
          <w:rFonts w:eastAsia="MS Mincho" w:cs="Times New Roman"/>
          <w:kern w:val="0"/>
          <w:sz w:val="24"/>
          <w:szCs w:val="24"/>
          <w:lang w:eastAsia="ja-JP"/>
        </w:rPr>
        <w:t>nder air flow. Fourier transform-infrared spectrum was tested on an FT-IR spectrophotometer (Bruker INVENIO-R)</w:t>
      </w:r>
      <w:r>
        <w:rPr>
          <w:rFonts w:eastAsia="等线" w:cs="Times New Roman" w:hint="eastAsia"/>
          <w:kern w:val="0"/>
          <w:sz w:val="24"/>
          <w:szCs w:val="24"/>
          <w:lang w:eastAsia="ja-JP"/>
        </w:rPr>
        <w:t>.</w:t>
      </w:r>
      <w:r>
        <w:rPr>
          <w:rFonts w:eastAsia="MS Mincho" w:cs="Times New Roman"/>
          <w:kern w:val="0"/>
          <w:sz w:val="24"/>
          <w:szCs w:val="24"/>
          <w:lang w:eastAsia="ja-JP"/>
        </w:rPr>
        <w:t xml:space="preserve"> The specific surface area was studied by ASAP 2460 analyzer (Micromeritics), and was analyzed by Brunauer-Emmett-Teller (BET) method.</w:t>
      </w:r>
    </w:p>
    <w:p w14:paraId="5BB68DCA" w14:textId="77777777" w:rsidR="0052323F" w:rsidRDefault="00981750" w:rsidP="00107037">
      <w:pPr>
        <w:widowControl/>
        <w:spacing w:before="120" w:after="120" w:line="240" w:lineRule="auto"/>
        <w:ind w:firstLineChars="0" w:firstLine="0"/>
        <w:rPr>
          <w:rFonts w:eastAsia="宋体" w:cs="Times New Roman"/>
          <w:b/>
          <w:bCs/>
          <w:kern w:val="0"/>
          <w:sz w:val="24"/>
          <w:szCs w:val="24"/>
        </w:rPr>
      </w:pPr>
      <w:r>
        <w:rPr>
          <w:iCs/>
          <w:sz w:val="22"/>
          <w:szCs w:val="22"/>
        </w:rPr>
        <w:br w:type="page"/>
      </w:r>
    </w:p>
    <w:p w14:paraId="056A6A35" w14:textId="3B11EEF8" w:rsidR="0052323F" w:rsidRDefault="00892458" w:rsidP="00107037">
      <w:pPr>
        <w:spacing w:before="120" w:after="120" w:line="240" w:lineRule="auto"/>
        <w:ind w:firstLineChars="0" w:firstLine="0"/>
        <w:rPr>
          <w:b/>
          <w:bCs/>
        </w:rPr>
      </w:pPr>
      <w:r>
        <w:rPr>
          <w:b/>
          <w:bCs/>
          <w:sz w:val="28"/>
          <w:szCs w:val="28"/>
        </w:rPr>
        <w:lastRenderedPageBreak/>
        <w:t xml:space="preserve">S2 </w:t>
      </w:r>
      <w:r w:rsidR="00981750">
        <w:rPr>
          <w:b/>
          <w:bCs/>
          <w:sz w:val="28"/>
          <w:szCs w:val="28"/>
        </w:rPr>
        <w:t>Results and Discussion</w:t>
      </w:r>
    </w:p>
    <w:p w14:paraId="5E793557" w14:textId="77777777" w:rsidR="0052323F" w:rsidRDefault="00981750" w:rsidP="00107037">
      <w:pPr>
        <w:spacing w:before="120" w:after="120" w:line="240" w:lineRule="auto"/>
        <w:ind w:firstLineChars="0" w:firstLine="0"/>
        <w:jc w:val="center"/>
        <w:rPr>
          <w:b/>
          <w:bCs/>
          <w:sz w:val="24"/>
          <w:szCs w:val="24"/>
        </w:rPr>
      </w:pPr>
      <w:r>
        <w:rPr>
          <w:noProof/>
          <w:sz w:val="24"/>
          <w:szCs w:val="24"/>
        </w:rPr>
        <w:drawing>
          <wp:inline distT="0" distB="0" distL="0" distR="0" wp14:anchorId="75FE7080" wp14:editId="2ECB6DED">
            <wp:extent cx="3708400" cy="3308722"/>
            <wp:effectExtent l="0" t="0" r="635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cstate="print">
                      <a:extLst>
                        <a:ext uri="{28A0092B-C50C-407E-A947-70E740481C1C}">
                          <a14:useLocalDpi xmlns:a14="http://schemas.microsoft.com/office/drawing/2010/main" val="0"/>
                        </a:ext>
                      </a:extLst>
                    </a:blip>
                    <a:srcRect r="2162" b="1328"/>
                    <a:stretch>
                      <a:fillRect/>
                    </a:stretch>
                  </pic:blipFill>
                  <pic:spPr>
                    <a:xfrm>
                      <a:off x="0" y="0"/>
                      <a:ext cx="3790886" cy="3382318"/>
                    </a:xfrm>
                    <a:prstGeom prst="rect">
                      <a:avLst/>
                    </a:prstGeom>
                    <a:noFill/>
                    <a:ln>
                      <a:noFill/>
                    </a:ln>
                  </pic:spPr>
                </pic:pic>
              </a:graphicData>
            </a:graphic>
          </wp:inline>
        </w:drawing>
      </w:r>
    </w:p>
    <w:p w14:paraId="448C2192" w14:textId="77777777" w:rsidR="00892458" w:rsidRDefault="00981750" w:rsidP="00892458">
      <w:pPr>
        <w:spacing w:before="120" w:after="120" w:line="240" w:lineRule="auto"/>
        <w:ind w:firstLineChars="0" w:firstLine="0"/>
        <w:jc w:val="left"/>
        <w:rPr>
          <w:sz w:val="24"/>
          <w:szCs w:val="24"/>
        </w:rPr>
      </w:pPr>
      <w:r w:rsidRPr="00892458">
        <w:rPr>
          <w:b/>
          <w:bCs/>
          <w:sz w:val="24"/>
          <w:szCs w:val="24"/>
        </w:rPr>
        <w:t>Fig. S1</w:t>
      </w:r>
      <w:r>
        <w:rPr>
          <w:sz w:val="24"/>
          <w:szCs w:val="24"/>
        </w:rPr>
        <w:t xml:space="preserve"> (</w:t>
      </w:r>
      <w:r w:rsidRPr="00892458">
        <w:rPr>
          <w:b/>
          <w:bCs/>
          <w:sz w:val="24"/>
          <w:szCs w:val="24"/>
        </w:rPr>
        <w:t>a</w:t>
      </w:r>
      <w:r w:rsidRPr="00892458">
        <w:rPr>
          <w:rFonts w:hint="eastAsia"/>
          <w:b/>
          <w:bCs/>
          <w:sz w:val="24"/>
          <w:szCs w:val="24"/>
        </w:rPr>
        <w:t>,</w:t>
      </w:r>
      <w:r w:rsidRPr="00892458">
        <w:rPr>
          <w:b/>
          <w:bCs/>
          <w:sz w:val="24"/>
          <w:szCs w:val="24"/>
        </w:rPr>
        <w:t xml:space="preserve"> b</w:t>
      </w:r>
      <w:r>
        <w:rPr>
          <w:sz w:val="24"/>
          <w:szCs w:val="24"/>
        </w:rPr>
        <w:t>) SEM image</w:t>
      </w:r>
      <w:r>
        <w:rPr>
          <w:rFonts w:hint="eastAsia"/>
          <w:sz w:val="24"/>
          <w:szCs w:val="24"/>
        </w:rPr>
        <w:t>s</w:t>
      </w:r>
      <w:r>
        <w:rPr>
          <w:sz w:val="24"/>
          <w:szCs w:val="24"/>
        </w:rPr>
        <w:t xml:space="preserve"> of HVO. (</w:t>
      </w:r>
      <w:r w:rsidRPr="00892458">
        <w:rPr>
          <w:b/>
          <w:bCs/>
          <w:sz w:val="24"/>
          <w:szCs w:val="24"/>
        </w:rPr>
        <w:t>c, d</w:t>
      </w:r>
      <w:r>
        <w:rPr>
          <w:sz w:val="24"/>
          <w:szCs w:val="24"/>
        </w:rPr>
        <w:t>) EDX mapping images of HVO</w:t>
      </w:r>
    </w:p>
    <w:p w14:paraId="080F2CCC" w14:textId="39F69A59" w:rsidR="0052323F" w:rsidRDefault="00981750" w:rsidP="00892458">
      <w:pPr>
        <w:spacing w:before="120" w:after="120" w:line="240" w:lineRule="auto"/>
        <w:ind w:firstLineChars="0" w:firstLine="0"/>
        <w:jc w:val="center"/>
        <w:rPr>
          <w:sz w:val="24"/>
          <w:szCs w:val="24"/>
        </w:rPr>
      </w:pPr>
      <w:r>
        <w:rPr>
          <w:noProof/>
          <w:sz w:val="24"/>
          <w:szCs w:val="24"/>
        </w:rPr>
        <w:drawing>
          <wp:inline distT="0" distB="0" distL="0" distR="0" wp14:anchorId="4B0E2688" wp14:editId="012328C9">
            <wp:extent cx="4008252" cy="352425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9" cstate="print">
                      <a:extLst>
                        <a:ext uri="{28A0092B-C50C-407E-A947-70E740481C1C}">
                          <a14:useLocalDpi xmlns:a14="http://schemas.microsoft.com/office/drawing/2010/main" val="0"/>
                        </a:ext>
                      </a:extLst>
                    </a:blip>
                    <a:srcRect l="2133" r="4800"/>
                    <a:stretch>
                      <a:fillRect/>
                    </a:stretch>
                  </pic:blipFill>
                  <pic:spPr>
                    <a:xfrm>
                      <a:off x="0" y="0"/>
                      <a:ext cx="4025982" cy="3539839"/>
                    </a:xfrm>
                    <a:prstGeom prst="rect">
                      <a:avLst/>
                    </a:prstGeom>
                    <a:noFill/>
                    <a:ln>
                      <a:noFill/>
                    </a:ln>
                  </pic:spPr>
                </pic:pic>
              </a:graphicData>
            </a:graphic>
          </wp:inline>
        </w:drawing>
      </w:r>
    </w:p>
    <w:p w14:paraId="49363752" w14:textId="3A9B4C5C" w:rsidR="0052323F" w:rsidRDefault="00981750" w:rsidP="00107037">
      <w:pPr>
        <w:spacing w:before="120" w:after="120" w:line="240" w:lineRule="auto"/>
        <w:ind w:firstLineChars="0" w:firstLine="0"/>
        <w:rPr>
          <w:sz w:val="24"/>
          <w:szCs w:val="24"/>
        </w:rPr>
      </w:pPr>
      <w:r w:rsidRPr="00892458">
        <w:rPr>
          <w:b/>
          <w:bCs/>
          <w:sz w:val="24"/>
          <w:szCs w:val="24"/>
        </w:rPr>
        <w:t>Fig. S2</w:t>
      </w:r>
      <w:r>
        <w:rPr>
          <w:sz w:val="24"/>
          <w:szCs w:val="24"/>
        </w:rPr>
        <w:t xml:space="preserve"> Characterization of HVO: (</w:t>
      </w:r>
      <w:r w:rsidRPr="00892458">
        <w:rPr>
          <w:b/>
          <w:bCs/>
          <w:sz w:val="24"/>
          <w:szCs w:val="24"/>
        </w:rPr>
        <w:t>a</w:t>
      </w:r>
      <w:r>
        <w:rPr>
          <w:sz w:val="24"/>
          <w:szCs w:val="24"/>
        </w:rPr>
        <w:t>) N</w:t>
      </w:r>
      <w:r>
        <w:rPr>
          <w:sz w:val="24"/>
          <w:szCs w:val="24"/>
          <w:vertAlign w:val="subscript"/>
        </w:rPr>
        <w:t>2</w:t>
      </w:r>
      <w:r>
        <w:rPr>
          <w:sz w:val="24"/>
          <w:szCs w:val="24"/>
        </w:rPr>
        <w:t xml:space="preserve"> adsorption-desorption isotherm. (</w:t>
      </w:r>
      <w:r w:rsidRPr="00892458">
        <w:rPr>
          <w:b/>
          <w:bCs/>
          <w:sz w:val="24"/>
          <w:szCs w:val="24"/>
        </w:rPr>
        <w:t>b</w:t>
      </w:r>
      <w:r>
        <w:rPr>
          <w:sz w:val="24"/>
          <w:szCs w:val="24"/>
        </w:rPr>
        <w:t>) XRD pattern</w:t>
      </w:r>
      <w:r>
        <w:rPr>
          <w:rFonts w:hint="eastAsia"/>
          <w:sz w:val="24"/>
          <w:szCs w:val="24"/>
        </w:rPr>
        <w:t>.</w:t>
      </w:r>
      <w:r>
        <w:rPr>
          <w:sz w:val="24"/>
          <w:szCs w:val="24"/>
        </w:rPr>
        <w:t xml:space="preserve"> (</w:t>
      </w:r>
      <w:r w:rsidRPr="00892458">
        <w:rPr>
          <w:b/>
          <w:bCs/>
          <w:sz w:val="24"/>
          <w:szCs w:val="24"/>
        </w:rPr>
        <w:t>c</w:t>
      </w:r>
      <w:r>
        <w:rPr>
          <w:sz w:val="24"/>
          <w:szCs w:val="24"/>
        </w:rPr>
        <w:t>) Raman spectrum. (</w:t>
      </w:r>
      <w:r w:rsidRPr="00892458">
        <w:rPr>
          <w:b/>
          <w:bCs/>
          <w:sz w:val="24"/>
          <w:szCs w:val="24"/>
        </w:rPr>
        <w:t>d</w:t>
      </w:r>
      <w:r>
        <w:rPr>
          <w:sz w:val="24"/>
          <w:szCs w:val="24"/>
        </w:rPr>
        <w:t>) V 2p XPS spectra</w:t>
      </w:r>
    </w:p>
    <w:p w14:paraId="3FF52662" w14:textId="77777777" w:rsidR="0052323F" w:rsidRDefault="00981750" w:rsidP="00107037">
      <w:pPr>
        <w:spacing w:before="120" w:after="120" w:line="240" w:lineRule="auto"/>
        <w:ind w:firstLineChars="0" w:firstLine="0"/>
        <w:jc w:val="center"/>
        <w:rPr>
          <w:sz w:val="24"/>
          <w:szCs w:val="24"/>
        </w:rPr>
      </w:pPr>
      <w:r>
        <w:rPr>
          <w:sz w:val="24"/>
          <w:szCs w:val="24"/>
        </w:rPr>
        <w:br w:type="page"/>
      </w:r>
      <w:r>
        <w:rPr>
          <w:noProof/>
          <w:sz w:val="24"/>
          <w:szCs w:val="24"/>
        </w:rPr>
        <w:lastRenderedPageBreak/>
        <w:drawing>
          <wp:inline distT="0" distB="0" distL="0" distR="0" wp14:anchorId="21284FA3" wp14:editId="2283D830">
            <wp:extent cx="3023235" cy="2295525"/>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0" cstate="print">
                      <a:extLst>
                        <a:ext uri="{28A0092B-C50C-407E-A947-70E740481C1C}">
                          <a14:useLocalDpi xmlns:a14="http://schemas.microsoft.com/office/drawing/2010/main" val="0"/>
                        </a:ext>
                      </a:extLst>
                    </a:blip>
                    <a:srcRect t="1" b="2063"/>
                    <a:stretch>
                      <a:fillRect/>
                    </a:stretch>
                  </pic:blipFill>
                  <pic:spPr>
                    <a:xfrm>
                      <a:off x="0" y="0"/>
                      <a:ext cx="3023235" cy="2296049"/>
                    </a:xfrm>
                    <a:prstGeom prst="rect">
                      <a:avLst/>
                    </a:prstGeom>
                    <a:noFill/>
                    <a:ln>
                      <a:noFill/>
                    </a:ln>
                  </pic:spPr>
                </pic:pic>
              </a:graphicData>
            </a:graphic>
          </wp:inline>
        </w:drawing>
      </w:r>
    </w:p>
    <w:p w14:paraId="197EB5E8" w14:textId="57FB4A66" w:rsidR="0052323F" w:rsidRDefault="00981750" w:rsidP="00892458">
      <w:pPr>
        <w:spacing w:before="120" w:after="120" w:line="240" w:lineRule="auto"/>
        <w:ind w:firstLineChars="0" w:firstLine="0"/>
        <w:jc w:val="left"/>
      </w:pPr>
      <w:r w:rsidRPr="00892458">
        <w:rPr>
          <w:b/>
          <w:bCs/>
          <w:sz w:val="24"/>
          <w:szCs w:val="24"/>
        </w:rPr>
        <w:t>Fig. S3</w:t>
      </w:r>
      <w:r>
        <w:rPr>
          <w:sz w:val="24"/>
          <w:szCs w:val="24"/>
        </w:rPr>
        <w:t xml:space="preserve"> TGA curve of HVO</w:t>
      </w:r>
      <w:r>
        <w:rPr>
          <w:noProof/>
        </w:rPr>
        <w:drawing>
          <wp:inline distT="0" distB="0" distL="0" distR="0" wp14:anchorId="37097737" wp14:editId="012F414A">
            <wp:extent cx="5598795" cy="3449320"/>
            <wp:effectExtent l="0" t="0" r="190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1" cstate="print">
                      <a:extLst>
                        <a:ext uri="{28A0092B-C50C-407E-A947-70E740481C1C}">
                          <a14:useLocalDpi xmlns:a14="http://schemas.microsoft.com/office/drawing/2010/main" val="0"/>
                        </a:ext>
                      </a:extLst>
                    </a:blip>
                    <a:srcRect l="3467" r="4609"/>
                    <a:stretch>
                      <a:fillRect/>
                    </a:stretch>
                  </pic:blipFill>
                  <pic:spPr>
                    <a:xfrm>
                      <a:off x="0" y="0"/>
                      <a:ext cx="5604628" cy="3452979"/>
                    </a:xfrm>
                    <a:prstGeom prst="rect">
                      <a:avLst/>
                    </a:prstGeom>
                    <a:noFill/>
                    <a:ln>
                      <a:noFill/>
                    </a:ln>
                  </pic:spPr>
                </pic:pic>
              </a:graphicData>
            </a:graphic>
          </wp:inline>
        </w:drawing>
      </w:r>
    </w:p>
    <w:p w14:paraId="231251EF" w14:textId="74C3CFEF" w:rsidR="0052323F" w:rsidRDefault="00981750" w:rsidP="00107037">
      <w:pPr>
        <w:spacing w:before="120" w:after="120" w:line="240" w:lineRule="auto"/>
        <w:ind w:firstLineChars="0" w:firstLine="0"/>
        <w:rPr>
          <w:sz w:val="24"/>
          <w:szCs w:val="24"/>
        </w:rPr>
      </w:pPr>
      <w:r w:rsidRPr="00892458">
        <w:rPr>
          <w:b/>
          <w:bCs/>
          <w:sz w:val="24"/>
          <w:szCs w:val="24"/>
        </w:rPr>
        <w:t>Fig. S4</w:t>
      </w:r>
      <w:r>
        <w:rPr>
          <w:sz w:val="24"/>
          <w:szCs w:val="24"/>
        </w:rPr>
        <w:t xml:space="preserve"> Characterization of VO: (</w:t>
      </w:r>
      <w:r w:rsidRPr="00892458">
        <w:rPr>
          <w:b/>
          <w:bCs/>
          <w:sz w:val="24"/>
          <w:szCs w:val="24"/>
        </w:rPr>
        <w:t>a</w:t>
      </w:r>
      <w:r>
        <w:rPr>
          <w:sz w:val="24"/>
          <w:szCs w:val="24"/>
        </w:rPr>
        <w:t>) SEM image. (</w:t>
      </w:r>
      <w:r w:rsidRPr="00892458">
        <w:rPr>
          <w:b/>
          <w:bCs/>
          <w:sz w:val="24"/>
          <w:szCs w:val="24"/>
        </w:rPr>
        <w:t>b</w:t>
      </w:r>
      <w:r>
        <w:rPr>
          <w:sz w:val="24"/>
          <w:szCs w:val="24"/>
        </w:rPr>
        <w:t>) XRD pattern</w:t>
      </w:r>
      <w:r>
        <w:rPr>
          <w:rFonts w:hint="eastAsia"/>
          <w:sz w:val="24"/>
          <w:szCs w:val="24"/>
        </w:rPr>
        <w:t>.</w:t>
      </w:r>
      <w:r>
        <w:rPr>
          <w:sz w:val="24"/>
          <w:szCs w:val="24"/>
        </w:rPr>
        <w:t xml:space="preserve"> (</w:t>
      </w:r>
      <w:r w:rsidRPr="00892458">
        <w:rPr>
          <w:b/>
          <w:bCs/>
          <w:sz w:val="24"/>
          <w:szCs w:val="24"/>
        </w:rPr>
        <w:t>c</w:t>
      </w:r>
      <w:r>
        <w:rPr>
          <w:sz w:val="24"/>
          <w:szCs w:val="24"/>
        </w:rPr>
        <w:t>) Raman spectrum. (</w:t>
      </w:r>
      <w:r w:rsidRPr="00892458">
        <w:rPr>
          <w:b/>
          <w:bCs/>
          <w:sz w:val="24"/>
          <w:szCs w:val="24"/>
        </w:rPr>
        <w:t>d</w:t>
      </w:r>
      <w:r>
        <w:rPr>
          <w:sz w:val="24"/>
          <w:szCs w:val="24"/>
        </w:rPr>
        <w:t>) V 2p XPS spectra. (</w:t>
      </w:r>
      <w:r w:rsidRPr="00892458">
        <w:rPr>
          <w:b/>
          <w:bCs/>
          <w:sz w:val="24"/>
          <w:szCs w:val="24"/>
        </w:rPr>
        <w:t>e</w:t>
      </w:r>
      <w:r>
        <w:rPr>
          <w:sz w:val="24"/>
          <w:szCs w:val="24"/>
        </w:rPr>
        <w:t>) TGA curve. (</w:t>
      </w:r>
      <w:r w:rsidRPr="003D6546">
        <w:rPr>
          <w:b/>
          <w:bCs/>
          <w:sz w:val="24"/>
          <w:szCs w:val="24"/>
        </w:rPr>
        <w:t>f</w:t>
      </w:r>
      <w:r>
        <w:rPr>
          <w:sz w:val="24"/>
          <w:szCs w:val="24"/>
        </w:rPr>
        <w:t>) N</w:t>
      </w:r>
      <w:r>
        <w:rPr>
          <w:sz w:val="24"/>
          <w:szCs w:val="24"/>
          <w:vertAlign w:val="subscript"/>
        </w:rPr>
        <w:t>2</w:t>
      </w:r>
      <w:r>
        <w:rPr>
          <w:sz w:val="24"/>
          <w:szCs w:val="24"/>
        </w:rPr>
        <w:t xml:space="preserve"> adsorption-desorption isotherm</w:t>
      </w:r>
    </w:p>
    <w:p w14:paraId="2F2227A1" w14:textId="24A40C62" w:rsidR="00892458" w:rsidRDefault="00981750" w:rsidP="00892458">
      <w:pPr>
        <w:spacing w:before="120" w:after="120" w:line="240" w:lineRule="auto"/>
        <w:ind w:firstLineChars="0" w:firstLine="0"/>
        <w:rPr>
          <w:sz w:val="24"/>
          <w:szCs w:val="24"/>
        </w:rPr>
      </w:pPr>
      <w:r>
        <w:rPr>
          <w:sz w:val="24"/>
          <w:szCs w:val="24"/>
        </w:rPr>
        <w:t>To remove the interl</w:t>
      </w:r>
      <w:r>
        <w:rPr>
          <w:sz w:val="24"/>
          <w:szCs w:val="24"/>
        </w:rPr>
        <w:t xml:space="preserve">ayer </w:t>
      </w:r>
      <w:r>
        <w:rPr>
          <w:sz w:val="24"/>
          <w:szCs w:val="24"/>
          <w:shd w:val="clear" w:color="auto" w:fill="FFFFFF"/>
        </w:rPr>
        <w:t>crystalline</w:t>
      </w:r>
      <w:r>
        <w:rPr>
          <w:sz w:val="24"/>
          <w:szCs w:val="24"/>
        </w:rPr>
        <w:t xml:space="preserve"> water in HVO, it was annealed in air at 350 </w:t>
      </w:r>
      <w:r w:rsidR="003C02B9" w:rsidRPr="003C02B9">
        <w:rPr>
          <w:sz w:val="24"/>
          <w:szCs w:val="24"/>
        </w:rPr>
        <w:t>°</w:t>
      </w:r>
      <w:r>
        <w:rPr>
          <w:sz w:val="24"/>
          <w:szCs w:val="24"/>
        </w:rPr>
        <w:t xml:space="preserve">C for 3 hours to obtain VO. The SEM image of VO is shown in Fig. S4a, where the flower-like morphology of the material is well preserved after going through the annealing process. All peaks in </w:t>
      </w:r>
      <w:r>
        <w:rPr>
          <w:sz w:val="24"/>
          <w:szCs w:val="24"/>
        </w:rPr>
        <w:t>the XRD spectrum can be accurately matched to the standard data for orthogonal V</w:t>
      </w:r>
      <w:r>
        <w:rPr>
          <w:sz w:val="24"/>
          <w:szCs w:val="24"/>
          <w:vertAlign w:val="subscript"/>
        </w:rPr>
        <w:t>2</w:t>
      </w:r>
      <w:r>
        <w:rPr>
          <w:sz w:val="24"/>
          <w:szCs w:val="24"/>
        </w:rPr>
        <w:t>O</w:t>
      </w:r>
      <w:r>
        <w:rPr>
          <w:sz w:val="24"/>
          <w:szCs w:val="24"/>
          <w:vertAlign w:val="subscript"/>
        </w:rPr>
        <w:t>5</w:t>
      </w:r>
      <w:r>
        <w:rPr>
          <w:sz w:val="24"/>
          <w:szCs w:val="24"/>
        </w:rPr>
        <w:t xml:space="preserve"> (JCPDS#00-041-1426), and no additional diffraction peaks are detected (Fig. S4b). The Raman spectra can correspond to the characteristic modes of V</w:t>
      </w:r>
      <w:r>
        <w:rPr>
          <w:sz w:val="24"/>
          <w:szCs w:val="24"/>
          <w:vertAlign w:val="subscript"/>
        </w:rPr>
        <w:t>2</w:t>
      </w:r>
      <w:r>
        <w:rPr>
          <w:sz w:val="24"/>
          <w:szCs w:val="24"/>
        </w:rPr>
        <w:t>O</w:t>
      </w:r>
      <w:r>
        <w:rPr>
          <w:sz w:val="24"/>
          <w:szCs w:val="24"/>
          <w:vertAlign w:val="subscript"/>
        </w:rPr>
        <w:t>5</w:t>
      </w:r>
      <w:r>
        <w:rPr>
          <w:sz w:val="24"/>
          <w:szCs w:val="24"/>
        </w:rPr>
        <w:t xml:space="preserve"> (Fig. S4c). The XPS s</w:t>
      </w:r>
      <w:r>
        <w:rPr>
          <w:sz w:val="24"/>
          <w:szCs w:val="24"/>
        </w:rPr>
        <w:t>pectrum of V 2p is shown in Fig. S4d, vanadium in the VO is in the oxidation state of V</w:t>
      </w:r>
      <w:r>
        <w:rPr>
          <w:sz w:val="24"/>
          <w:szCs w:val="24"/>
          <w:vertAlign w:val="superscript"/>
        </w:rPr>
        <w:t>5+</w:t>
      </w:r>
      <w:r>
        <w:rPr>
          <w:sz w:val="24"/>
          <w:szCs w:val="24"/>
        </w:rPr>
        <w:t xml:space="preserve">. The TGA curve shows that as the </w:t>
      </w:r>
      <w:r>
        <w:rPr>
          <w:sz w:val="24"/>
          <w:szCs w:val="24"/>
        </w:rPr>
        <w:lastRenderedPageBreak/>
        <w:t xml:space="preserve">temperature increases, VO undergoes only a slight weight loss, indicating that the interlayer </w:t>
      </w:r>
      <w:r>
        <w:rPr>
          <w:sz w:val="24"/>
          <w:szCs w:val="24"/>
          <w:shd w:val="clear" w:color="auto" w:fill="FFFFFF"/>
        </w:rPr>
        <w:t>crystalline</w:t>
      </w:r>
      <w:r>
        <w:rPr>
          <w:sz w:val="24"/>
          <w:szCs w:val="24"/>
        </w:rPr>
        <w:t xml:space="preserve"> water has been effectively </w:t>
      </w:r>
      <w:r>
        <w:rPr>
          <w:sz w:val="24"/>
          <w:szCs w:val="24"/>
        </w:rPr>
        <w:t>removed (Fig. S4e). N</w:t>
      </w:r>
      <w:r>
        <w:rPr>
          <w:sz w:val="24"/>
          <w:szCs w:val="24"/>
          <w:vertAlign w:val="subscript"/>
        </w:rPr>
        <w:t>2</w:t>
      </w:r>
      <w:r>
        <w:rPr>
          <w:sz w:val="24"/>
          <w:szCs w:val="24"/>
        </w:rPr>
        <w:t xml:space="preserve"> adsorption-desorption isotherm of VO is very similar to that of HVO, both exhibiting a high specific surface area (Fig. S4f).</w:t>
      </w:r>
    </w:p>
    <w:p w14:paraId="3061A769" w14:textId="70956A76" w:rsidR="0052323F" w:rsidRDefault="00981750" w:rsidP="00892458">
      <w:pPr>
        <w:spacing w:before="120" w:after="120" w:line="240" w:lineRule="auto"/>
        <w:ind w:firstLineChars="0" w:firstLine="0"/>
        <w:jc w:val="center"/>
      </w:pPr>
      <w:r>
        <w:rPr>
          <w:noProof/>
        </w:rPr>
        <w:drawing>
          <wp:inline distT="0" distB="0" distL="0" distR="0" wp14:anchorId="0CE8723A" wp14:editId="0405EA40">
            <wp:extent cx="4800600" cy="3725767"/>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806335" cy="3730218"/>
                    </a:xfrm>
                    <a:prstGeom prst="rect">
                      <a:avLst/>
                    </a:prstGeom>
                    <a:noFill/>
                    <a:ln>
                      <a:noFill/>
                    </a:ln>
                  </pic:spPr>
                </pic:pic>
              </a:graphicData>
            </a:graphic>
          </wp:inline>
        </w:drawing>
      </w:r>
    </w:p>
    <w:p w14:paraId="2D60293C" w14:textId="4C572195" w:rsidR="0052323F" w:rsidRDefault="00981750" w:rsidP="00107037">
      <w:pPr>
        <w:spacing w:before="120" w:after="120" w:line="240" w:lineRule="auto"/>
        <w:ind w:firstLineChars="0" w:firstLine="0"/>
        <w:rPr>
          <w:rFonts w:cs="Times New Roman"/>
          <w:sz w:val="24"/>
          <w:szCs w:val="24"/>
        </w:rPr>
      </w:pPr>
      <w:r w:rsidRPr="00892458">
        <w:rPr>
          <w:rFonts w:cs="Times New Roman"/>
          <w:b/>
          <w:bCs/>
          <w:sz w:val="24"/>
          <w:szCs w:val="24"/>
        </w:rPr>
        <w:t>Fig. S5</w:t>
      </w:r>
      <w:r>
        <w:rPr>
          <w:rFonts w:cs="Times New Roman"/>
          <w:sz w:val="24"/>
          <w:szCs w:val="24"/>
        </w:rPr>
        <w:t xml:space="preserve"> (</w:t>
      </w:r>
      <w:r w:rsidRPr="00FD62DD">
        <w:rPr>
          <w:rFonts w:cs="Times New Roman"/>
          <w:b/>
          <w:bCs/>
          <w:sz w:val="24"/>
          <w:szCs w:val="24"/>
        </w:rPr>
        <w:t>a</w:t>
      </w:r>
      <w:r>
        <w:rPr>
          <w:rFonts w:cs="Times New Roman"/>
          <w:sz w:val="24"/>
          <w:szCs w:val="24"/>
        </w:rPr>
        <w:t>) Voltage variations at different temperature differences. (</w:t>
      </w:r>
      <w:r w:rsidRPr="00FD62DD">
        <w:rPr>
          <w:rFonts w:cs="Times New Roman"/>
          <w:b/>
          <w:bCs/>
          <w:sz w:val="24"/>
          <w:szCs w:val="24"/>
        </w:rPr>
        <w:t>b</w:t>
      </w:r>
      <w:r>
        <w:rPr>
          <w:rFonts w:cs="Times New Roman"/>
          <w:sz w:val="24"/>
          <w:szCs w:val="24"/>
        </w:rPr>
        <w:t>) Self-charging curves. (</w:t>
      </w:r>
      <w:r w:rsidRPr="00FD62DD">
        <w:rPr>
          <w:rFonts w:cs="Times New Roman"/>
          <w:b/>
          <w:bCs/>
          <w:sz w:val="24"/>
          <w:szCs w:val="24"/>
        </w:rPr>
        <w:t>c</w:t>
      </w:r>
      <w:r>
        <w:rPr>
          <w:rFonts w:cs="Times New Roman"/>
          <w:sz w:val="24"/>
          <w:szCs w:val="24"/>
        </w:rPr>
        <w:t>) Therm</w:t>
      </w:r>
      <w:r>
        <w:rPr>
          <w:rFonts w:cs="Times New Roman"/>
          <w:sz w:val="24"/>
          <w:szCs w:val="24"/>
        </w:rPr>
        <w:t>opower fitting plots. (</w:t>
      </w:r>
      <w:r w:rsidRPr="00FD62DD">
        <w:rPr>
          <w:rFonts w:cs="Times New Roman"/>
          <w:b/>
          <w:bCs/>
          <w:sz w:val="24"/>
          <w:szCs w:val="24"/>
        </w:rPr>
        <w:t>d</w:t>
      </w:r>
      <w:r>
        <w:rPr>
          <w:rFonts w:cs="Times New Roman"/>
          <w:sz w:val="24"/>
          <w:szCs w:val="24"/>
        </w:rPr>
        <w:t>) Plots of power and current densities under various load resistances</w:t>
      </w:r>
    </w:p>
    <w:p w14:paraId="5A5AA367" w14:textId="77777777" w:rsidR="00A04283" w:rsidRDefault="00A04283" w:rsidP="00107037">
      <w:pPr>
        <w:spacing w:before="120" w:after="120" w:line="240" w:lineRule="auto"/>
        <w:ind w:firstLineChars="0" w:firstLine="0"/>
        <w:rPr>
          <w:rFonts w:cs="Times New Roman"/>
          <w:sz w:val="24"/>
          <w:szCs w:val="24"/>
        </w:rPr>
      </w:pPr>
    </w:p>
    <w:p w14:paraId="61347F64" w14:textId="11DCB00D" w:rsidR="0052323F" w:rsidRDefault="00981750" w:rsidP="00107037">
      <w:pPr>
        <w:spacing w:before="120" w:after="120" w:line="240" w:lineRule="auto"/>
        <w:ind w:firstLineChars="0" w:firstLine="0"/>
        <w:rPr>
          <w:rFonts w:cs="Times New Roman"/>
          <w:sz w:val="24"/>
          <w:szCs w:val="24"/>
        </w:rPr>
      </w:pPr>
      <w:r>
        <w:rPr>
          <w:rFonts w:cs="Times New Roman"/>
          <w:sz w:val="24"/>
          <w:szCs w:val="24"/>
        </w:rPr>
        <w:t xml:space="preserve">To clarify whether the interlayer </w:t>
      </w:r>
      <w:r>
        <w:rPr>
          <w:rFonts w:cs="Times New Roman"/>
          <w:sz w:val="24"/>
          <w:szCs w:val="24"/>
          <w:shd w:val="clear" w:color="auto" w:fill="FFFFFF"/>
        </w:rPr>
        <w:t>crystalline</w:t>
      </w:r>
      <w:r>
        <w:rPr>
          <w:rFonts w:cs="Times New Roman"/>
          <w:sz w:val="24"/>
          <w:szCs w:val="24"/>
        </w:rPr>
        <w:t xml:space="preserve"> water of crystallization has an enhancement effect on the thermoelectric performance of V</w:t>
      </w:r>
      <w:r>
        <w:rPr>
          <w:rFonts w:cs="Times New Roman"/>
          <w:sz w:val="24"/>
          <w:szCs w:val="24"/>
          <w:vertAlign w:val="subscript"/>
        </w:rPr>
        <w:t>2</w:t>
      </w:r>
      <w:r>
        <w:rPr>
          <w:rFonts w:cs="Times New Roman"/>
          <w:sz w:val="24"/>
          <w:szCs w:val="24"/>
        </w:rPr>
        <w:t>O</w:t>
      </w:r>
      <w:r>
        <w:rPr>
          <w:rFonts w:cs="Times New Roman"/>
          <w:sz w:val="24"/>
          <w:szCs w:val="24"/>
          <w:vertAlign w:val="subscript"/>
        </w:rPr>
        <w:t>5</w:t>
      </w:r>
      <w:r>
        <w:rPr>
          <w:rFonts w:cs="Times New Roman"/>
          <w:sz w:val="24"/>
          <w:szCs w:val="24"/>
        </w:rPr>
        <w:t>, the low-grade heat c</w:t>
      </w:r>
      <w:r>
        <w:rPr>
          <w:rFonts w:cs="Times New Roman"/>
          <w:sz w:val="24"/>
          <w:szCs w:val="24"/>
        </w:rPr>
        <w:t>onversion performance was tested in an H-type non-isothermal electrolytic cell utilizing the HVO and VO electrodes as cathode at the hot side, respectively, and matched with a Zn metal anode placed at the cold side, using a 0.5 M (NH</w:t>
      </w:r>
      <w:r>
        <w:rPr>
          <w:rFonts w:cs="Times New Roman"/>
          <w:sz w:val="24"/>
          <w:szCs w:val="24"/>
          <w:vertAlign w:val="subscript"/>
        </w:rPr>
        <w:t>4</w:t>
      </w:r>
      <w:r>
        <w:rPr>
          <w:rFonts w:cs="Times New Roman"/>
          <w:sz w:val="24"/>
          <w:szCs w:val="24"/>
        </w:rPr>
        <w:t>)</w:t>
      </w:r>
      <w:r>
        <w:rPr>
          <w:rFonts w:cs="Times New Roman"/>
          <w:sz w:val="24"/>
          <w:szCs w:val="24"/>
          <w:vertAlign w:val="subscript"/>
        </w:rPr>
        <w:t>2</w:t>
      </w:r>
      <w:r>
        <w:rPr>
          <w:rFonts w:cs="Times New Roman"/>
          <w:sz w:val="24"/>
          <w:szCs w:val="24"/>
        </w:rPr>
        <w:t>SO</w:t>
      </w:r>
      <w:r>
        <w:rPr>
          <w:rFonts w:cs="Times New Roman"/>
          <w:sz w:val="24"/>
          <w:szCs w:val="24"/>
          <w:vertAlign w:val="subscript"/>
        </w:rPr>
        <w:t>4</w:t>
      </w:r>
      <w:r>
        <w:rPr>
          <w:rFonts w:cs="Times New Roman"/>
          <w:sz w:val="24"/>
          <w:szCs w:val="24"/>
        </w:rPr>
        <w:t xml:space="preserve"> + 0.25 M ZnSO</w:t>
      </w:r>
      <w:r>
        <w:rPr>
          <w:rFonts w:cs="Times New Roman"/>
          <w:sz w:val="24"/>
          <w:szCs w:val="24"/>
          <w:vertAlign w:val="subscript"/>
        </w:rPr>
        <w:t>4</w:t>
      </w:r>
      <w:r>
        <w:rPr>
          <w:rFonts w:cs="Times New Roman"/>
          <w:sz w:val="24"/>
          <w:szCs w:val="24"/>
        </w:rPr>
        <w:t xml:space="preserve"> h</w:t>
      </w:r>
      <w:r>
        <w:rPr>
          <w:rFonts w:cs="Times New Roman"/>
          <w:sz w:val="24"/>
          <w:szCs w:val="24"/>
        </w:rPr>
        <w:t>ybrid solution as the electrolyte.</w:t>
      </w:r>
    </w:p>
    <w:p w14:paraId="3608103F" w14:textId="77777777" w:rsidR="0052323F" w:rsidRDefault="00981750" w:rsidP="00107037">
      <w:pPr>
        <w:spacing w:before="120" w:after="120" w:line="240" w:lineRule="auto"/>
        <w:ind w:firstLineChars="0" w:firstLine="0"/>
        <w:rPr>
          <w:rFonts w:cs="Times New Roman"/>
          <w:sz w:val="24"/>
          <w:szCs w:val="24"/>
        </w:rPr>
      </w:pPr>
      <w:r>
        <w:rPr>
          <w:rFonts w:cs="Times New Roman"/>
          <w:sz w:val="24"/>
          <w:szCs w:val="24"/>
        </w:rPr>
        <w:t>The thermal charging curves of HVO</w:t>
      </w:r>
      <w:r>
        <w:rPr>
          <w:rFonts w:ascii="宋体" w:eastAsia="宋体" w:hAnsi="宋体" w:cs="宋体" w:hint="eastAsia"/>
          <w:sz w:val="24"/>
          <w:szCs w:val="24"/>
          <w:shd w:val="clear" w:color="auto" w:fill="FFFFFF"/>
        </w:rPr>
        <w:t>∥</w:t>
      </w:r>
      <w:r>
        <w:rPr>
          <w:rFonts w:cs="Times New Roman"/>
          <w:sz w:val="24"/>
          <w:szCs w:val="24"/>
        </w:rPr>
        <w:t>Zn and VO</w:t>
      </w:r>
      <w:r>
        <w:rPr>
          <w:rFonts w:ascii="宋体" w:eastAsia="宋体" w:hAnsi="宋体" w:cs="宋体" w:hint="eastAsia"/>
          <w:sz w:val="24"/>
          <w:szCs w:val="24"/>
        </w:rPr>
        <w:t>∥</w:t>
      </w:r>
      <w:r>
        <w:rPr>
          <w:rFonts w:cs="Times New Roman"/>
          <w:sz w:val="24"/>
          <w:szCs w:val="24"/>
        </w:rPr>
        <w:t>Zn thermal charging cells are illustrated in Fig. S5a. The HVO</w:t>
      </w:r>
      <w:r>
        <w:rPr>
          <w:rFonts w:ascii="宋体" w:eastAsia="宋体" w:hAnsi="宋体" w:cs="宋体" w:hint="eastAsia"/>
          <w:sz w:val="24"/>
          <w:szCs w:val="24"/>
        </w:rPr>
        <w:t>∥</w:t>
      </w:r>
      <w:r>
        <w:rPr>
          <w:rFonts w:cs="Times New Roman"/>
          <w:sz w:val="24"/>
          <w:szCs w:val="24"/>
        </w:rPr>
        <w:t>Zn thermal charging cell shows a significantly faster voltage rise and a higher output voltage. When the temperat</w:t>
      </w:r>
      <w:r>
        <w:rPr>
          <w:rFonts w:cs="Times New Roman"/>
          <w:sz w:val="24"/>
          <w:szCs w:val="24"/>
        </w:rPr>
        <w:t>ure difference is 35 K, the maximum output voltages of HVO</w:t>
      </w:r>
      <w:r>
        <w:rPr>
          <w:rFonts w:ascii="宋体" w:eastAsia="宋体" w:hAnsi="宋体" w:cs="宋体" w:hint="eastAsia"/>
          <w:sz w:val="24"/>
          <w:szCs w:val="24"/>
          <w:shd w:val="clear" w:color="auto" w:fill="FFFFFF"/>
        </w:rPr>
        <w:t>∥</w:t>
      </w:r>
      <w:r>
        <w:rPr>
          <w:rFonts w:cs="Times New Roman"/>
          <w:sz w:val="24"/>
          <w:szCs w:val="24"/>
        </w:rPr>
        <w:t>Zn and VO</w:t>
      </w:r>
      <w:r>
        <w:rPr>
          <w:rFonts w:ascii="宋体" w:eastAsia="宋体" w:hAnsi="宋体" w:cs="宋体" w:hint="eastAsia"/>
          <w:sz w:val="24"/>
          <w:szCs w:val="24"/>
        </w:rPr>
        <w:t>∥</w:t>
      </w:r>
      <w:r>
        <w:rPr>
          <w:rFonts w:cs="Times New Roman"/>
          <w:sz w:val="24"/>
          <w:szCs w:val="24"/>
        </w:rPr>
        <w:t>Zn thermal charging cells are 1.077 and 0.971 V, respectively, showing the great potential of the vanadium-based system for application. It should be noted that such a high output voltage</w:t>
      </w:r>
      <w:r>
        <w:rPr>
          <w:rFonts w:cs="Times New Roman"/>
          <w:sz w:val="24"/>
          <w:szCs w:val="24"/>
        </w:rPr>
        <w:t xml:space="preserve"> is jointly caused by the thermal charging voltage and the electrochemical self-charging voltage. Fig. S5b shows the self-charging curve without an applied temperature difference. It can be observed that the voltage rises slowly, and after the same duratio</w:t>
      </w:r>
      <w:r>
        <w:rPr>
          <w:rFonts w:cs="Times New Roman"/>
          <w:sz w:val="24"/>
          <w:szCs w:val="24"/>
        </w:rPr>
        <w:t>n, the final self-charging voltage is approximately 0.45 V. The maximum pure thermal-induced voltage of the HVO</w:t>
      </w:r>
      <w:r>
        <w:rPr>
          <w:rFonts w:ascii="宋体" w:eastAsia="宋体" w:hAnsi="宋体" w:cs="宋体" w:hint="eastAsia"/>
          <w:sz w:val="24"/>
          <w:szCs w:val="24"/>
          <w:shd w:val="clear" w:color="auto" w:fill="FFFFFF"/>
        </w:rPr>
        <w:t>∥</w:t>
      </w:r>
      <w:r>
        <w:rPr>
          <w:rFonts w:cs="Times New Roman"/>
          <w:sz w:val="24"/>
          <w:szCs w:val="24"/>
        </w:rPr>
        <w:t xml:space="preserve">Zn </w:t>
      </w:r>
      <w:r>
        <w:rPr>
          <w:rFonts w:cs="Times New Roman"/>
          <w:sz w:val="24"/>
          <w:szCs w:val="24"/>
        </w:rPr>
        <w:lastRenderedPageBreak/>
        <w:t>and VO</w:t>
      </w:r>
      <w:r>
        <w:rPr>
          <w:rFonts w:ascii="宋体" w:eastAsia="宋体" w:hAnsi="宋体" w:cs="宋体" w:hint="eastAsia"/>
          <w:sz w:val="24"/>
          <w:szCs w:val="24"/>
        </w:rPr>
        <w:t>∥</w:t>
      </w:r>
      <w:r>
        <w:rPr>
          <w:rFonts w:cs="Times New Roman"/>
          <w:sz w:val="24"/>
          <w:szCs w:val="24"/>
        </w:rPr>
        <w:t>Zn thermal charging cells was calculated to be 0.6 and 0.48 V. As shown in Fig. S5c, the thermopower of the HVO</w:t>
      </w:r>
      <w:r>
        <w:rPr>
          <w:rFonts w:ascii="宋体" w:eastAsia="宋体" w:hAnsi="宋体" w:cs="宋体" w:hint="eastAsia"/>
          <w:sz w:val="24"/>
          <w:szCs w:val="24"/>
          <w:shd w:val="clear" w:color="auto" w:fill="FFFFFF"/>
        </w:rPr>
        <w:t>∥</w:t>
      </w:r>
      <w:r>
        <w:rPr>
          <w:rFonts w:cs="Times New Roman"/>
          <w:sz w:val="24"/>
          <w:szCs w:val="24"/>
        </w:rPr>
        <w:t>Zn and VO</w:t>
      </w:r>
      <w:r>
        <w:rPr>
          <w:rFonts w:ascii="宋体" w:eastAsia="宋体" w:hAnsi="宋体" w:cs="宋体" w:hint="eastAsia"/>
          <w:sz w:val="24"/>
          <w:szCs w:val="24"/>
        </w:rPr>
        <w:t>∥</w:t>
      </w:r>
      <w:r>
        <w:rPr>
          <w:rFonts w:cs="Times New Roman"/>
          <w:sz w:val="24"/>
          <w:szCs w:val="24"/>
        </w:rPr>
        <w:t xml:space="preserve">Zn </w:t>
      </w:r>
      <w:r>
        <w:rPr>
          <w:rFonts w:cs="Times New Roman"/>
          <w:sz w:val="24"/>
          <w:szCs w:val="24"/>
        </w:rPr>
        <w:t>thermal charging cells are 9.87 and 12.05 mV K⁻¹, respectively. Introducing interlayer crystalline water significantly enhances the low-grade heat conversion capability of V</w:t>
      </w:r>
      <w:r>
        <w:rPr>
          <w:rFonts w:cs="Times New Roman"/>
          <w:sz w:val="24"/>
          <w:szCs w:val="24"/>
          <w:vertAlign w:val="subscript"/>
        </w:rPr>
        <w:t>2</w:t>
      </w:r>
      <w:r>
        <w:rPr>
          <w:rFonts w:cs="Times New Roman"/>
          <w:sz w:val="24"/>
          <w:szCs w:val="24"/>
        </w:rPr>
        <w:t>O</w:t>
      </w:r>
      <w:r>
        <w:rPr>
          <w:rFonts w:cs="Times New Roman"/>
          <w:sz w:val="24"/>
          <w:szCs w:val="24"/>
          <w:vertAlign w:val="subscript"/>
        </w:rPr>
        <w:t>5</w:t>
      </w:r>
      <w:r>
        <w:rPr>
          <w:rFonts w:cs="Times New Roman"/>
          <w:sz w:val="24"/>
          <w:szCs w:val="24"/>
        </w:rPr>
        <w:t>.To investigate the differences in energy output capability of different systems</w:t>
      </w:r>
      <w:r>
        <w:rPr>
          <w:rFonts w:cs="Times New Roman"/>
          <w:sz w:val="24"/>
          <w:szCs w:val="24"/>
        </w:rPr>
        <w:t>, a series of resistors (100 kΩ-50 Ω) were chosen to perform discharge experiments on the thermal charged cells. As shown in Fig. S5d, the HVO</w:t>
      </w:r>
      <w:r>
        <w:rPr>
          <w:rFonts w:ascii="宋体" w:eastAsia="宋体" w:hAnsi="宋体" w:cs="宋体" w:hint="eastAsia"/>
          <w:sz w:val="24"/>
          <w:szCs w:val="24"/>
        </w:rPr>
        <w:t>∥</w:t>
      </w:r>
      <w:r>
        <w:rPr>
          <w:rFonts w:cs="Times New Roman"/>
          <w:sz w:val="24"/>
          <w:szCs w:val="24"/>
        </w:rPr>
        <w:t>Zn thermal charging cell exhibits excellent energy output performance, with a maximum power density of 24 W m</w:t>
      </w:r>
      <w:r>
        <w:rPr>
          <w:rFonts w:eastAsia="微软雅黑" w:cs="Times New Roman"/>
          <w:sz w:val="24"/>
          <w:szCs w:val="24"/>
          <w:vertAlign w:val="superscript"/>
        </w:rPr>
        <w:t>–</w:t>
      </w:r>
      <w:r>
        <w:rPr>
          <w:rFonts w:cs="Times New Roman"/>
          <w:sz w:val="24"/>
          <w:szCs w:val="24"/>
          <w:vertAlign w:val="superscript"/>
        </w:rPr>
        <w:t>2</w:t>
      </w:r>
      <w:r>
        <w:rPr>
          <w:rFonts w:cs="Times New Roman"/>
          <w:sz w:val="24"/>
          <w:szCs w:val="24"/>
        </w:rPr>
        <w:t xml:space="preserve"> a</w:t>
      </w:r>
      <w:r>
        <w:rPr>
          <w:rFonts w:cs="Times New Roman"/>
          <w:sz w:val="24"/>
          <w:szCs w:val="24"/>
        </w:rPr>
        <w:t>nd a response current density of 89.8 A m</w:t>
      </w:r>
      <w:r>
        <w:rPr>
          <w:rFonts w:eastAsia="微软雅黑" w:cs="Times New Roman"/>
          <w:sz w:val="24"/>
          <w:szCs w:val="24"/>
          <w:vertAlign w:val="superscript"/>
        </w:rPr>
        <w:t>–</w:t>
      </w:r>
      <w:r>
        <w:rPr>
          <w:rFonts w:cs="Times New Roman"/>
          <w:sz w:val="24"/>
          <w:szCs w:val="24"/>
          <w:vertAlign w:val="superscript"/>
        </w:rPr>
        <w:t>2</w:t>
      </w:r>
      <w:r>
        <w:rPr>
          <w:rFonts w:cs="Times New Roman"/>
          <w:sz w:val="24"/>
          <w:szCs w:val="24"/>
        </w:rPr>
        <w:t>, which is much higher than 8.5 W m</w:t>
      </w:r>
      <w:r>
        <w:rPr>
          <w:rFonts w:eastAsia="微软雅黑" w:cs="Times New Roman"/>
          <w:sz w:val="24"/>
          <w:szCs w:val="24"/>
          <w:vertAlign w:val="superscript"/>
        </w:rPr>
        <w:t>–</w:t>
      </w:r>
      <w:r>
        <w:rPr>
          <w:rFonts w:cs="Times New Roman"/>
          <w:sz w:val="24"/>
          <w:szCs w:val="24"/>
          <w:vertAlign w:val="superscript"/>
        </w:rPr>
        <w:t>2</w:t>
      </w:r>
      <w:r>
        <w:rPr>
          <w:rFonts w:cs="Times New Roman"/>
          <w:sz w:val="24"/>
          <w:szCs w:val="24"/>
        </w:rPr>
        <w:t xml:space="preserve"> and 29.5 A m</w:t>
      </w:r>
      <w:r>
        <w:rPr>
          <w:rFonts w:eastAsia="微软雅黑" w:cs="Times New Roman"/>
          <w:sz w:val="24"/>
          <w:szCs w:val="24"/>
          <w:vertAlign w:val="superscript"/>
        </w:rPr>
        <w:t>–</w:t>
      </w:r>
      <w:r>
        <w:rPr>
          <w:rFonts w:cs="Times New Roman"/>
          <w:sz w:val="24"/>
          <w:szCs w:val="24"/>
          <w:vertAlign w:val="superscript"/>
        </w:rPr>
        <w:t>2</w:t>
      </w:r>
      <w:r>
        <w:rPr>
          <w:rFonts w:cs="Times New Roman"/>
          <w:sz w:val="24"/>
          <w:szCs w:val="24"/>
        </w:rPr>
        <w:t xml:space="preserve"> of the VO</w:t>
      </w:r>
      <w:r>
        <w:rPr>
          <w:rFonts w:ascii="宋体" w:eastAsia="宋体" w:hAnsi="宋体" w:cs="宋体" w:hint="eastAsia"/>
          <w:sz w:val="24"/>
          <w:szCs w:val="24"/>
        </w:rPr>
        <w:t>∥</w:t>
      </w:r>
      <w:r>
        <w:rPr>
          <w:rFonts w:cs="Times New Roman"/>
          <w:sz w:val="24"/>
          <w:szCs w:val="24"/>
        </w:rPr>
        <w:t>Zn thermal charging cell.</w:t>
      </w:r>
    </w:p>
    <w:p w14:paraId="0FD854F7" w14:textId="4485147D" w:rsidR="0052323F" w:rsidRDefault="00981750" w:rsidP="00FD62DD">
      <w:pPr>
        <w:spacing w:before="120" w:after="120" w:line="240" w:lineRule="auto"/>
        <w:ind w:firstLineChars="150" w:firstLine="360"/>
        <w:rPr>
          <w:rFonts w:eastAsiaTheme="minorEastAsia"/>
        </w:rPr>
      </w:pPr>
      <w:r>
        <w:rPr>
          <w:rFonts w:cs="Times New Roman"/>
          <w:sz w:val="24"/>
          <w:szCs w:val="24"/>
          <w:shd w:val="clear" w:color="auto" w:fill="FFFFFF"/>
        </w:rPr>
        <w:t>This significant performance enhancement can be attributed to the unique structural characteristics of the HVO material. The</w:t>
      </w:r>
      <w:r>
        <w:rPr>
          <w:rFonts w:cs="Times New Roman"/>
          <w:sz w:val="24"/>
          <w:szCs w:val="24"/>
          <w:shd w:val="clear" w:color="auto" w:fill="FFFFFF"/>
        </w:rPr>
        <w:t xml:space="preserve"> presence of interlayer crystalline water provides a larger interlayer spacing, offering more space for ion migration and transport, thereby reducing the resistance to ion movement within the material. Additionally, the interlayer water can participate in </w:t>
      </w:r>
      <w:r>
        <w:rPr>
          <w:rFonts w:cs="Times New Roman"/>
          <w:sz w:val="24"/>
          <w:szCs w:val="24"/>
          <w:shd w:val="clear" w:color="auto" w:fill="FFFFFF"/>
        </w:rPr>
        <w:t xml:space="preserve">the diffusion process of NH₄⁺, allowing for more effective ion migration and charge transfer during the thermoelectrochemical reaction, thus improving the system's thermoelectric conversion efficiency. In contrast, the smaller interlayer spacing of the VO </w:t>
      </w:r>
      <w:r>
        <w:rPr>
          <w:rFonts w:cs="Times New Roman"/>
          <w:sz w:val="24"/>
          <w:szCs w:val="24"/>
          <w:shd w:val="clear" w:color="auto" w:fill="FFFFFF"/>
        </w:rPr>
        <w:t>material limits the speed of ion migration, resulting in inferior performance in energy conversion and thermoelectric response speed.</w:t>
      </w:r>
      <w:r w:rsidR="00FD62DD">
        <w:rPr>
          <w:rFonts w:cs="Times New Roman"/>
          <w:sz w:val="24"/>
          <w:szCs w:val="24"/>
          <w:shd w:val="clear" w:color="auto" w:fill="FFFFFF"/>
        </w:rPr>
        <w:t xml:space="preserve"> </w:t>
      </w:r>
    </w:p>
    <w:p w14:paraId="79402FF7" w14:textId="77777777" w:rsidR="0052323F" w:rsidRDefault="00981750" w:rsidP="00107037">
      <w:pPr>
        <w:widowControl/>
        <w:spacing w:before="120" w:after="120" w:line="240" w:lineRule="auto"/>
        <w:ind w:firstLineChars="0" w:firstLine="0"/>
        <w:jc w:val="center"/>
        <w:rPr>
          <w:rFonts w:eastAsiaTheme="minorEastAsia"/>
        </w:rPr>
      </w:pPr>
      <w:r>
        <w:rPr>
          <w:noProof/>
        </w:rPr>
        <w:drawing>
          <wp:inline distT="0" distB="0" distL="0" distR="0" wp14:anchorId="6C22A5C1" wp14:editId="63697F9B">
            <wp:extent cx="4362450" cy="3741763"/>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13" cstate="print">
                      <a:extLst>
                        <a:ext uri="{28A0092B-C50C-407E-A947-70E740481C1C}">
                          <a14:useLocalDpi xmlns:a14="http://schemas.microsoft.com/office/drawing/2010/main" val="0"/>
                        </a:ext>
                      </a:extLst>
                    </a:blip>
                    <a:srcRect r="5490"/>
                    <a:stretch>
                      <a:fillRect/>
                    </a:stretch>
                  </pic:blipFill>
                  <pic:spPr>
                    <a:xfrm>
                      <a:off x="0" y="0"/>
                      <a:ext cx="4375867" cy="3753271"/>
                    </a:xfrm>
                    <a:prstGeom prst="rect">
                      <a:avLst/>
                    </a:prstGeom>
                    <a:noFill/>
                    <a:ln>
                      <a:noFill/>
                    </a:ln>
                  </pic:spPr>
                </pic:pic>
              </a:graphicData>
            </a:graphic>
          </wp:inline>
        </w:drawing>
      </w:r>
    </w:p>
    <w:p w14:paraId="2E7D0553" w14:textId="5BCBB25C" w:rsidR="0052323F" w:rsidRDefault="00981750" w:rsidP="00107037">
      <w:pPr>
        <w:widowControl/>
        <w:shd w:val="clear" w:color="auto" w:fill="FFFFFF"/>
        <w:spacing w:before="120" w:after="120" w:line="240" w:lineRule="auto"/>
        <w:ind w:firstLineChars="0" w:firstLine="0"/>
        <w:jc w:val="left"/>
        <w:rPr>
          <w:rFonts w:eastAsiaTheme="minorEastAsia" w:cs="Times New Roman"/>
          <w:color w:val="0000FF"/>
          <w:kern w:val="0"/>
          <w:sz w:val="24"/>
          <w:szCs w:val="24"/>
          <w:lang w:val="en-SG"/>
        </w:rPr>
      </w:pPr>
      <w:bookmarkStart w:id="4" w:name="OLE_LINK36"/>
      <w:r w:rsidRPr="00FD62DD">
        <w:rPr>
          <w:rFonts w:cs="Times New Roman"/>
          <w:b/>
          <w:bCs/>
          <w:kern w:val="0"/>
          <w:sz w:val="24"/>
          <w:szCs w:val="24"/>
          <w:lang w:val="en-SG"/>
        </w:rPr>
        <w:t>Fig. S6</w:t>
      </w:r>
      <w:r w:rsidRPr="00FD62DD">
        <w:rPr>
          <w:rFonts w:cs="Times New Roman"/>
          <w:kern w:val="0"/>
          <w:sz w:val="24"/>
          <w:szCs w:val="24"/>
          <w:lang w:val="en-SG"/>
        </w:rPr>
        <w:t xml:space="preserve"> (</w:t>
      </w:r>
      <w:r w:rsidRPr="00FD62DD">
        <w:rPr>
          <w:rFonts w:cs="Times New Roman"/>
          <w:b/>
          <w:bCs/>
          <w:kern w:val="0"/>
          <w:sz w:val="24"/>
          <w:szCs w:val="24"/>
          <w:lang w:val="en-SG"/>
        </w:rPr>
        <w:t>a</w:t>
      </w:r>
      <w:r w:rsidRPr="00FD62DD">
        <w:rPr>
          <w:rFonts w:cs="Times New Roman"/>
          <w:kern w:val="0"/>
          <w:sz w:val="24"/>
          <w:szCs w:val="24"/>
          <w:lang w:val="en-SG"/>
        </w:rPr>
        <w:t xml:space="preserve">) Cycling stability comparison of HVO and VO electrodes in hybrid electrolyte. Rate capability </w:t>
      </w:r>
      <w:r w:rsidRPr="00FD62DD">
        <w:rPr>
          <w:rFonts w:cs="Times New Roman"/>
          <w:kern w:val="0"/>
          <w:sz w:val="24"/>
          <w:szCs w:val="24"/>
          <w:lang w:val="en-SG"/>
        </w:rPr>
        <w:t>comparison of HVO and VO electrodes in (</w:t>
      </w:r>
      <w:r w:rsidRPr="00FD62DD">
        <w:rPr>
          <w:rFonts w:cs="Times New Roman"/>
          <w:b/>
          <w:bCs/>
          <w:kern w:val="0"/>
          <w:sz w:val="24"/>
          <w:szCs w:val="24"/>
          <w:lang w:val="en-SG"/>
        </w:rPr>
        <w:t>b</w:t>
      </w:r>
      <w:r w:rsidRPr="00FD62DD">
        <w:rPr>
          <w:rFonts w:cs="Times New Roman"/>
          <w:kern w:val="0"/>
          <w:sz w:val="24"/>
          <w:szCs w:val="24"/>
          <w:lang w:val="en-SG"/>
        </w:rPr>
        <w:t>) hybrid electrolyte, (</w:t>
      </w:r>
      <w:r w:rsidRPr="00FD62DD">
        <w:rPr>
          <w:rFonts w:cs="Times New Roman"/>
          <w:b/>
          <w:bCs/>
          <w:kern w:val="0"/>
          <w:sz w:val="24"/>
          <w:szCs w:val="24"/>
          <w:lang w:val="en-SG"/>
        </w:rPr>
        <w:t>c</w:t>
      </w:r>
      <w:r w:rsidRPr="00FD62DD">
        <w:rPr>
          <w:rFonts w:cs="Times New Roman"/>
          <w:kern w:val="0"/>
          <w:sz w:val="24"/>
          <w:szCs w:val="24"/>
          <w:lang w:val="en-SG"/>
        </w:rPr>
        <w:t>) NH4⁺ electrolyte and (</w:t>
      </w:r>
      <w:r w:rsidRPr="00FD62DD">
        <w:rPr>
          <w:rFonts w:cs="Times New Roman"/>
          <w:b/>
          <w:bCs/>
          <w:kern w:val="0"/>
          <w:sz w:val="24"/>
          <w:szCs w:val="24"/>
          <w:lang w:val="en-SG"/>
        </w:rPr>
        <w:t>d</w:t>
      </w:r>
      <w:r w:rsidRPr="00FD62DD">
        <w:rPr>
          <w:rFonts w:cs="Times New Roman"/>
          <w:kern w:val="0"/>
          <w:sz w:val="24"/>
          <w:szCs w:val="24"/>
          <w:lang w:val="en-SG"/>
        </w:rPr>
        <w:t>) Zn²⁺ electrolyte</w:t>
      </w:r>
    </w:p>
    <w:p w14:paraId="3CA7CD39" w14:textId="77777777" w:rsidR="0052323F" w:rsidRPr="00FD62DD" w:rsidRDefault="00981750" w:rsidP="00107037">
      <w:pPr>
        <w:widowControl/>
        <w:shd w:val="clear" w:color="auto" w:fill="FFFFFF"/>
        <w:spacing w:before="120" w:after="120" w:line="240" w:lineRule="auto"/>
        <w:ind w:firstLineChars="0" w:firstLine="0"/>
        <w:rPr>
          <w:rFonts w:cs="Times New Roman"/>
          <w:kern w:val="0"/>
          <w:sz w:val="24"/>
          <w:szCs w:val="24"/>
          <w:lang w:val="en-SG"/>
        </w:rPr>
      </w:pPr>
      <w:bookmarkStart w:id="5" w:name="OLE_LINK1"/>
      <w:r w:rsidRPr="00FD62DD">
        <w:rPr>
          <w:rFonts w:cs="Times New Roman"/>
          <w:kern w:val="0"/>
          <w:sz w:val="24"/>
          <w:szCs w:val="24"/>
          <w:lang w:val="en-SG"/>
        </w:rPr>
        <w:lastRenderedPageBreak/>
        <w:t>The interlayer crystal water in HVO plays multiple essential roles in enhancing the material's performance. First, the water molecules effectivel</w:t>
      </w:r>
      <w:r w:rsidRPr="00FD62DD">
        <w:rPr>
          <w:rFonts w:cs="Times New Roman"/>
          <w:kern w:val="0"/>
          <w:sz w:val="24"/>
          <w:szCs w:val="24"/>
          <w:lang w:val="en-SG"/>
        </w:rPr>
        <w:t xml:space="preserve">y expand the interlayer spacing in HVO, providing more spacious channels for ion transport. Second, these water molecules serve as structural pillars that stabilize the layered framework during repeated ion insertion/extraction cycles, as evidenced by the </w:t>
      </w:r>
      <w:r w:rsidRPr="00FD62DD">
        <w:rPr>
          <w:rFonts w:cs="Times New Roman"/>
          <w:kern w:val="0"/>
          <w:sz w:val="24"/>
          <w:szCs w:val="24"/>
          <w:lang w:val="en-SG"/>
        </w:rPr>
        <w:t>better cycling stability of HVO (</w:t>
      </w:r>
      <w:r w:rsidRPr="00FD62DD">
        <w:rPr>
          <w:rFonts w:cs="Times New Roman"/>
          <w:sz w:val="24"/>
          <w:szCs w:val="24"/>
        </w:rPr>
        <w:t xml:space="preserve">Fig. </w:t>
      </w:r>
      <w:r w:rsidRPr="00FD62DD">
        <w:rPr>
          <w:rFonts w:cs="Times New Roman"/>
          <w:kern w:val="0"/>
          <w:sz w:val="24"/>
          <w:szCs w:val="24"/>
          <w:lang w:val="en-SG"/>
        </w:rPr>
        <w:t>S6</w:t>
      </w:r>
      <w:r w:rsidRPr="00FD62DD">
        <w:rPr>
          <w:rFonts w:eastAsiaTheme="minorEastAsia" w:cs="Times New Roman"/>
          <w:sz w:val="24"/>
          <w:szCs w:val="24"/>
        </w:rPr>
        <w:t>a</w:t>
      </w:r>
      <w:r w:rsidRPr="00FD62DD">
        <w:rPr>
          <w:rFonts w:cs="Times New Roman"/>
          <w:kern w:val="0"/>
          <w:sz w:val="24"/>
          <w:szCs w:val="24"/>
          <w:lang w:val="en-SG"/>
        </w:rPr>
        <w:t>).</w:t>
      </w:r>
      <w:r w:rsidRPr="00FD62DD">
        <w:rPr>
          <w:rFonts w:eastAsiaTheme="minorEastAsia" w:cs="Times New Roman"/>
          <w:kern w:val="0"/>
          <w:sz w:val="24"/>
          <w:szCs w:val="24"/>
          <w:lang w:val="en-SG"/>
        </w:rPr>
        <w:t xml:space="preserve"> </w:t>
      </w:r>
      <w:r w:rsidRPr="00FD62DD">
        <w:rPr>
          <w:rFonts w:cs="Times New Roman"/>
          <w:kern w:val="0"/>
          <w:sz w:val="24"/>
          <w:szCs w:val="24"/>
          <w:lang w:val="en-SG"/>
        </w:rPr>
        <w:t xml:space="preserve">When tested in the same hybrid ion electrolyte, VO exhibits substantially inferior capacity and rate performance compared to HVO, highlighting the essential function of crystalline water in </w:t>
      </w:r>
      <w:r w:rsidRPr="00FD62DD">
        <w:rPr>
          <w:rFonts w:cs="Times New Roman"/>
          <w:kern w:val="0"/>
          <w:sz w:val="24"/>
          <w:szCs w:val="24"/>
          <w:lang w:val="en-SG"/>
        </w:rPr>
        <w:t>facilitating ion transport (</w:t>
      </w:r>
      <w:r w:rsidRPr="00FD62DD">
        <w:rPr>
          <w:rFonts w:cs="Times New Roman"/>
          <w:sz w:val="24"/>
          <w:szCs w:val="24"/>
        </w:rPr>
        <w:t xml:space="preserve">Fig. </w:t>
      </w:r>
      <w:r w:rsidRPr="00FD62DD">
        <w:rPr>
          <w:rFonts w:cs="Times New Roman"/>
          <w:kern w:val="0"/>
          <w:sz w:val="24"/>
          <w:szCs w:val="24"/>
          <w:lang w:val="en-SG"/>
        </w:rPr>
        <w:t>S6b).</w:t>
      </w:r>
    </w:p>
    <w:bookmarkEnd w:id="5"/>
    <w:p w14:paraId="3B25EA1F" w14:textId="3733907B" w:rsidR="003C02B9" w:rsidRDefault="00981750" w:rsidP="00107037">
      <w:pPr>
        <w:widowControl/>
        <w:shd w:val="clear" w:color="auto" w:fill="FFFFFF"/>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Rate performance tests in both ammonium-ion and zinc-ion electrolytes consistently demonstrate HVO's superiority over VO. While the hydrogen-bond facilitation is particularly effective for NH₄⁺ due to its specific che</w:t>
      </w:r>
      <w:r w:rsidRPr="00FD62DD">
        <w:rPr>
          <w:rFonts w:cs="Times New Roman"/>
          <w:kern w:val="0"/>
          <w:sz w:val="24"/>
          <w:szCs w:val="24"/>
          <w:lang w:val="en-SG"/>
        </w:rPr>
        <w:t>mical nature, the expanded interlayer spacing also significantly benefits Zn²⁺ diffusion by reducing steric hindrance (</w:t>
      </w:r>
      <w:r w:rsidRPr="00FD62DD">
        <w:rPr>
          <w:rFonts w:cs="Times New Roman"/>
          <w:sz w:val="24"/>
          <w:szCs w:val="24"/>
        </w:rPr>
        <w:t xml:space="preserve">Fig. </w:t>
      </w:r>
      <w:r w:rsidRPr="00FD62DD">
        <w:rPr>
          <w:rFonts w:cs="Times New Roman"/>
          <w:kern w:val="0"/>
          <w:sz w:val="24"/>
          <w:szCs w:val="24"/>
          <w:lang w:val="en-SG"/>
        </w:rPr>
        <w:t>S6c, d). The water molecules create a more favourable environment for ion transport regardless of the ion species.</w:t>
      </w:r>
    </w:p>
    <w:p w14:paraId="503A9B85" w14:textId="206D44BB" w:rsidR="003C02B9" w:rsidRDefault="003C02B9" w:rsidP="00107037">
      <w:pPr>
        <w:widowControl/>
        <w:shd w:val="clear" w:color="auto" w:fill="FFFFFF"/>
        <w:spacing w:before="120" w:after="120" w:line="240" w:lineRule="auto"/>
        <w:ind w:firstLineChars="0" w:firstLine="0"/>
        <w:rPr>
          <w:rFonts w:eastAsiaTheme="minorEastAsia" w:cs="Times New Roman"/>
          <w:kern w:val="0"/>
          <w:sz w:val="24"/>
          <w:szCs w:val="24"/>
          <w:lang w:val="en-SG"/>
        </w:rPr>
      </w:pPr>
    </w:p>
    <w:p w14:paraId="1AF26F36" w14:textId="77777777" w:rsidR="003C02B9" w:rsidRPr="003C02B9" w:rsidRDefault="003C02B9" w:rsidP="00107037">
      <w:pPr>
        <w:widowControl/>
        <w:shd w:val="clear" w:color="auto" w:fill="FFFFFF"/>
        <w:spacing w:before="120" w:after="120" w:line="240" w:lineRule="auto"/>
        <w:ind w:firstLineChars="0" w:firstLine="0"/>
        <w:rPr>
          <w:rFonts w:eastAsiaTheme="minorEastAsia" w:cs="Times New Roman" w:hint="eastAsia"/>
          <w:kern w:val="0"/>
          <w:sz w:val="24"/>
          <w:szCs w:val="24"/>
          <w:lang w:val="en-SG"/>
        </w:rPr>
      </w:pPr>
    </w:p>
    <w:bookmarkEnd w:id="4"/>
    <w:p w14:paraId="7841A960" w14:textId="77777777" w:rsidR="0052323F" w:rsidRPr="00FD62DD" w:rsidRDefault="00981750" w:rsidP="00107037">
      <w:pPr>
        <w:spacing w:before="120" w:after="120" w:line="240" w:lineRule="auto"/>
        <w:ind w:firstLineChars="0" w:firstLine="0"/>
        <w:jc w:val="center"/>
      </w:pPr>
      <w:r w:rsidRPr="00FD62DD">
        <w:rPr>
          <w:noProof/>
        </w:rPr>
        <w:drawing>
          <wp:inline distT="0" distB="0" distL="0" distR="0" wp14:anchorId="4577BF98" wp14:editId="1DFDFCCB">
            <wp:extent cx="5509895" cy="1669415"/>
            <wp:effectExtent l="0" t="0" r="0"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10417" cy="1669773"/>
                    </a:xfrm>
                    <a:prstGeom prst="rect">
                      <a:avLst/>
                    </a:prstGeom>
                    <a:noFill/>
                    <a:ln>
                      <a:noFill/>
                    </a:ln>
                  </pic:spPr>
                </pic:pic>
              </a:graphicData>
            </a:graphic>
          </wp:inline>
        </w:drawing>
      </w:r>
    </w:p>
    <w:p w14:paraId="0A0BC981" w14:textId="447BD601" w:rsidR="0052323F" w:rsidRPr="00FD62DD" w:rsidRDefault="00981750" w:rsidP="00107037">
      <w:pPr>
        <w:spacing w:before="120" w:after="120" w:line="240" w:lineRule="auto"/>
        <w:ind w:firstLineChars="0" w:firstLine="0"/>
        <w:rPr>
          <w:sz w:val="24"/>
          <w:szCs w:val="24"/>
        </w:rPr>
      </w:pPr>
      <w:r w:rsidRPr="003C02B9">
        <w:rPr>
          <w:b/>
          <w:bCs/>
          <w:sz w:val="24"/>
          <w:szCs w:val="24"/>
        </w:rPr>
        <w:t>Fig. S7</w:t>
      </w:r>
      <w:r w:rsidRPr="00FD62DD">
        <w:rPr>
          <w:sz w:val="24"/>
          <w:szCs w:val="24"/>
        </w:rPr>
        <w:t xml:space="preserve"> Comparison of solubility of hybrid-ion electrolytes with different ratios of Zn</w:t>
      </w:r>
      <w:r w:rsidRPr="00FD62DD">
        <w:rPr>
          <w:sz w:val="24"/>
          <w:szCs w:val="24"/>
          <w:vertAlign w:val="superscript"/>
        </w:rPr>
        <w:t>2+</w:t>
      </w:r>
      <w:r w:rsidRPr="00FD62DD">
        <w:rPr>
          <w:sz w:val="24"/>
          <w:szCs w:val="24"/>
        </w:rPr>
        <w:t>/NH</w:t>
      </w:r>
      <w:r w:rsidRPr="00FD62DD">
        <w:rPr>
          <w:sz w:val="24"/>
          <w:szCs w:val="24"/>
          <w:vertAlign w:val="subscript"/>
        </w:rPr>
        <w:t>4</w:t>
      </w:r>
      <w:r w:rsidRPr="00FD62DD">
        <w:rPr>
          <w:sz w:val="24"/>
          <w:szCs w:val="24"/>
          <w:vertAlign w:val="superscript"/>
        </w:rPr>
        <w:t>+</w:t>
      </w:r>
    </w:p>
    <w:p w14:paraId="10B1D8F4" w14:textId="77777777" w:rsidR="00A04283" w:rsidRDefault="00A04283" w:rsidP="00107037">
      <w:pPr>
        <w:spacing w:before="120" w:after="120" w:line="240" w:lineRule="auto"/>
        <w:ind w:firstLineChars="0" w:firstLine="0"/>
        <w:rPr>
          <w:sz w:val="24"/>
          <w:szCs w:val="24"/>
          <w:shd w:val="clear" w:color="auto" w:fill="FFFFFF"/>
        </w:rPr>
      </w:pPr>
    </w:p>
    <w:p w14:paraId="45F7043E" w14:textId="02EE72AC" w:rsidR="0052323F" w:rsidRDefault="00981750" w:rsidP="00107037">
      <w:pPr>
        <w:spacing w:before="120" w:after="120" w:line="240" w:lineRule="auto"/>
        <w:ind w:firstLineChars="0" w:firstLine="0"/>
        <w:rPr>
          <w:sz w:val="24"/>
          <w:szCs w:val="24"/>
          <w:shd w:val="clear" w:color="auto" w:fill="FFFFFF"/>
        </w:rPr>
      </w:pPr>
      <w:r w:rsidRPr="00FD62DD">
        <w:rPr>
          <w:sz w:val="24"/>
          <w:szCs w:val="24"/>
          <w:shd w:val="clear" w:color="auto" w:fill="FFFFFF"/>
        </w:rPr>
        <w:t>Several electrolytes with different ratios were designed in this work for preliminary screening. Their concentrations of ZnSO</w:t>
      </w:r>
      <w:r w:rsidRPr="00FD62DD">
        <w:rPr>
          <w:sz w:val="24"/>
          <w:szCs w:val="24"/>
          <w:shd w:val="clear" w:color="auto" w:fill="FFFFFF"/>
          <w:vertAlign w:val="subscript"/>
        </w:rPr>
        <w:t>4</w:t>
      </w:r>
      <w:r w:rsidRPr="00FD62DD">
        <w:rPr>
          <w:sz w:val="24"/>
          <w:szCs w:val="24"/>
          <w:shd w:val="clear" w:color="auto" w:fill="FFFFFF"/>
        </w:rPr>
        <w:t xml:space="preserve"> and (NH</w:t>
      </w:r>
      <w:r w:rsidRPr="00FD62DD">
        <w:rPr>
          <w:sz w:val="24"/>
          <w:szCs w:val="24"/>
          <w:shd w:val="clear" w:color="auto" w:fill="FFFFFF"/>
          <w:vertAlign w:val="subscript"/>
        </w:rPr>
        <w:t>4</w:t>
      </w:r>
      <w:r w:rsidRPr="00FD62DD">
        <w:rPr>
          <w:sz w:val="24"/>
          <w:szCs w:val="24"/>
          <w:shd w:val="clear" w:color="auto" w:fill="FFFFFF"/>
        </w:rPr>
        <w:t>)</w:t>
      </w:r>
      <w:r w:rsidRPr="00FD62DD">
        <w:rPr>
          <w:sz w:val="24"/>
          <w:szCs w:val="24"/>
          <w:shd w:val="clear" w:color="auto" w:fill="FFFFFF"/>
          <w:vertAlign w:val="subscript"/>
        </w:rPr>
        <w:t>2</w:t>
      </w:r>
      <w:r w:rsidRPr="00FD62DD">
        <w:rPr>
          <w:sz w:val="24"/>
          <w:szCs w:val="24"/>
          <w:shd w:val="clear" w:color="auto" w:fill="FFFFFF"/>
        </w:rPr>
        <w:t>SO</w:t>
      </w:r>
      <w:r w:rsidRPr="00FD62DD">
        <w:rPr>
          <w:sz w:val="24"/>
          <w:szCs w:val="24"/>
          <w:shd w:val="clear" w:color="auto" w:fill="FFFFFF"/>
          <w:vertAlign w:val="subscript"/>
        </w:rPr>
        <w:t>4</w:t>
      </w:r>
      <w:r w:rsidRPr="00FD62DD">
        <w:rPr>
          <w:sz w:val="24"/>
          <w:szCs w:val="24"/>
          <w:shd w:val="clear" w:color="auto" w:fill="FFFFFF"/>
        </w:rPr>
        <w:t xml:space="preserve"> were 0.25 M + 0.125 M, 0.25 M + 0.25 M, 0.25 M + 0.5 M, 0.25 M + 0.75 M, 0.25 M + 1 M, and 0.5 M + 0.5 M. As shown in Fig. S7 the latter three supersaturated solutions (0.25 M + 0.75 M, 0.25 M + 1 M, and 0.5 M + 0.5 M) were first ruled out as they showed </w:t>
      </w:r>
      <w:r w:rsidRPr="00FD62DD">
        <w:rPr>
          <w:sz w:val="24"/>
          <w:szCs w:val="24"/>
          <w:shd w:val="clear" w:color="auto" w:fill="FFFFFF"/>
        </w:rPr>
        <w:t xml:space="preserve">significant precipitation and incomplete dissolution at room temperature (~25 </w:t>
      </w:r>
      <w:r w:rsidR="003C02B9" w:rsidRPr="003C02B9">
        <w:rPr>
          <w:sz w:val="24"/>
          <w:szCs w:val="24"/>
          <w:shd w:val="clear" w:color="auto" w:fill="FFFFFF"/>
        </w:rPr>
        <w:t>°</w:t>
      </w:r>
      <w:r w:rsidRPr="00FD62DD">
        <w:rPr>
          <w:sz w:val="24"/>
          <w:szCs w:val="24"/>
          <w:shd w:val="clear" w:color="auto" w:fill="FFFFFF"/>
        </w:rPr>
        <w:t>C).</w:t>
      </w:r>
    </w:p>
    <w:p w14:paraId="515B51B1" w14:textId="77777777" w:rsidR="0052323F" w:rsidRPr="00FD62DD" w:rsidRDefault="00981750" w:rsidP="00107037">
      <w:pPr>
        <w:spacing w:before="120" w:after="120" w:line="240" w:lineRule="auto"/>
        <w:ind w:firstLineChars="0" w:firstLine="0"/>
        <w:jc w:val="center"/>
      </w:pPr>
      <w:r w:rsidRPr="00FD62DD">
        <w:rPr>
          <w:noProof/>
        </w:rPr>
        <w:lastRenderedPageBreak/>
        <w:drawing>
          <wp:inline distT="0" distB="0" distL="0" distR="0" wp14:anchorId="33D7B1AB" wp14:editId="51678906">
            <wp:extent cx="3609612" cy="239395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5" cstate="print">
                      <a:extLst>
                        <a:ext uri="{28A0092B-C50C-407E-A947-70E740481C1C}">
                          <a14:useLocalDpi xmlns:a14="http://schemas.microsoft.com/office/drawing/2010/main" val="0"/>
                        </a:ext>
                      </a:extLst>
                    </a:blip>
                    <a:srcRect t="7670" b="5766"/>
                    <a:stretch>
                      <a:fillRect/>
                    </a:stretch>
                  </pic:blipFill>
                  <pic:spPr>
                    <a:xfrm>
                      <a:off x="0" y="0"/>
                      <a:ext cx="3615321" cy="2397737"/>
                    </a:xfrm>
                    <a:prstGeom prst="rect">
                      <a:avLst/>
                    </a:prstGeom>
                    <a:noFill/>
                    <a:ln>
                      <a:noFill/>
                    </a:ln>
                  </pic:spPr>
                </pic:pic>
              </a:graphicData>
            </a:graphic>
          </wp:inline>
        </w:drawing>
      </w:r>
    </w:p>
    <w:p w14:paraId="0E951EED" w14:textId="0BD378CB" w:rsidR="0052323F" w:rsidRPr="00FD62DD" w:rsidRDefault="00981750" w:rsidP="00107037">
      <w:pPr>
        <w:spacing w:before="120" w:after="120" w:line="240" w:lineRule="auto"/>
        <w:ind w:firstLineChars="0" w:firstLine="0"/>
        <w:rPr>
          <w:sz w:val="24"/>
          <w:szCs w:val="24"/>
        </w:rPr>
      </w:pPr>
      <w:r w:rsidRPr="003C02B9">
        <w:rPr>
          <w:b/>
          <w:bCs/>
          <w:sz w:val="24"/>
          <w:szCs w:val="24"/>
        </w:rPr>
        <w:t>Fig. S8</w:t>
      </w:r>
      <w:r w:rsidRPr="00FD62DD">
        <w:rPr>
          <w:sz w:val="24"/>
          <w:szCs w:val="24"/>
        </w:rPr>
        <w:t xml:space="preserve"> Ionic conductivities of different electrolytes, where A, B, and C represent 0.25 M ZnSO</w:t>
      </w:r>
      <w:r w:rsidRPr="00FD62DD">
        <w:rPr>
          <w:sz w:val="24"/>
          <w:szCs w:val="24"/>
          <w:vertAlign w:val="subscript"/>
        </w:rPr>
        <w:t>4</w:t>
      </w:r>
      <w:r w:rsidRPr="00FD62DD">
        <w:rPr>
          <w:sz w:val="24"/>
          <w:szCs w:val="24"/>
        </w:rPr>
        <w:t xml:space="preserve"> + 0.125, 0.25, and 0.5 M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solutions, respectively; Zn</w:t>
      </w:r>
      <w:r w:rsidRPr="00FD62DD">
        <w:rPr>
          <w:sz w:val="24"/>
          <w:szCs w:val="24"/>
          <w:vertAlign w:val="superscript"/>
        </w:rPr>
        <w:t>2+</w:t>
      </w:r>
      <w:r w:rsidRPr="00FD62DD">
        <w:rPr>
          <w:sz w:val="24"/>
          <w:szCs w:val="24"/>
        </w:rPr>
        <w:t xml:space="preserve"> and NH</w:t>
      </w:r>
      <w:r w:rsidRPr="00FD62DD">
        <w:rPr>
          <w:sz w:val="24"/>
          <w:szCs w:val="24"/>
          <w:vertAlign w:val="subscript"/>
        </w:rPr>
        <w:t>4</w:t>
      </w:r>
      <w:r w:rsidRPr="00FD62DD">
        <w:rPr>
          <w:sz w:val="24"/>
          <w:szCs w:val="24"/>
          <w:vertAlign w:val="superscript"/>
        </w:rPr>
        <w:t>+</w:t>
      </w:r>
      <w:r w:rsidRPr="00FD62DD">
        <w:rPr>
          <w:sz w:val="24"/>
          <w:szCs w:val="24"/>
        </w:rPr>
        <w:t xml:space="preserve"> represent 0.25 M ZnSO</w:t>
      </w:r>
      <w:r w:rsidRPr="00FD62DD">
        <w:rPr>
          <w:sz w:val="24"/>
          <w:szCs w:val="24"/>
          <w:vertAlign w:val="subscript"/>
        </w:rPr>
        <w:t>4</w:t>
      </w:r>
      <w:r w:rsidRPr="00FD62DD">
        <w:rPr>
          <w:sz w:val="24"/>
          <w:szCs w:val="24"/>
        </w:rPr>
        <w:t xml:space="preserve"> solution and 0.5 M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solution, respectively</w:t>
      </w:r>
    </w:p>
    <w:p w14:paraId="01F0836C" w14:textId="77777777" w:rsidR="00A04283" w:rsidRDefault="00A04283" w:rsidP="003C02B9">
      <w:pPr>
        <w:spacing w:before="120" w:after="120" w:line="240" w:lineRule="auto"/>
        <w:ind w:firstLineChars="0" w:firstLine="0"/>
        <w:rPr>
          <w:sz w:val="24"/>
          <w:szCs w:val="24"/>
        </w:rPr>
      </w:pPr>
    </w:p>
    <w:p w14:paraId="3FE2609E" w14:textId="17CF2CA5" w:rsidR="003C02B9" w:rsidRDefault="00981750" w:rsidP="003C02B9">
      <w:pPr>
        <w:spacing w:before="120" w:after="120" w:line="240" w:lineRule="auto"/>
        <w:ind w:firstLineChars="0" w:firstLine="0"/>
        <w:rPr>
          <w:sz w:val="24"/>
          <w:szCs w:val="24"/>
        </w:rPr>
      </w:pPr>
      <w:r w:rsidRPr="00FD62DD">
        <w:rPr>
          <w:sz w:val="24"/>
          <w:szCs w:val="24"/>
        </w:rPr>
        <w:t xml:space="preserve">The ionic conductivity of the electrolyte can reflect the diffusion rate of ions in different electrolytes to some extent. As shown in Fig. S8, the ionic conductivities of the </w:t>
      </w:r>
      <w:r w:rsidRPr="00FD62DD">
        <w:rPr>
          <w:sz w:val="24"/>
          <w:szCs w:val="24"/>
        </w:rPr>
        <w:t>mixed solutions of 0.25 M + 0.125 M, 0.25 M + 0.25 M, and 0.25 M + 0.5 M were 31.92, 47.3, and 77.36 mS cm</w:t>
      </w:r>
      <w:r w:rsidRPr="00FD62DD">
        <w:rPr>
          <w:sz w:val="24"/>
          <w:szCs w:val="24"/>
          <w:vertAlign w:val="superscript"/>
        </w:rPr>
        <w:t>–1</w:t>
      </w:r>
      <w:r w:rsidRPr="00FD62DD">
        <w:rPr>
          <w:sz w:val="24"/>
          <w:szCs w:val="24"/>
        </w:rPr>
        <w:t>, respectively, in addition to the ionic conductivities of the 0.25 M ZnSO</w:t>
      </w:r>
      <w:r w:rsidRPr="00FD62DD">
        <w:rPr>
          <w:sz w:val="24"/>
          <w:szCs w:val="24"/>
          <w:vertAlign w:val="subscript"/>
        </w:rPr>
        <w:t>4</w:t>
      </w:r>
      <w:r w:rsidRPr="00FD62DD">
        <w:rPr>
          <w:sz w:val="24"/>
          <w:szCs w:val="24"/>
        </w:rPr>
        <w:t xml:space="preserve"> and 0.5 M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solutions of 18.59 and 78.3 mS cm</w:t>
      </w:r>
      <w:r w:rsidRPr="00FD62DD">
        <w:rPr>
          <w:sz w:val="24"/>
          <w:szCs w:val="24"/>
          <w:vertAlign w:val="superscript"/>
        </w:rPr>
        <w:t>–1</w:t>
      </w:r>
      <w:r w:rsidRPr="00FD62DD">
        <w:rPr>
          <w:sz w:val="24"/>
          <w:szCs w:val="24"/>
        </w:rPr>
        <w:t>. Since the hydra</w:t>
      </w:r>
      <w:r w:rsidRPr="00FD62DD">
        <w:rPr>
          <w:sz w:val="24"/>
          <w:szCs w:val="24"/>
        </w:rPr>
        <w:t>ted ionic radius and ionic mass of NH</w:t>
      </w:r>
      <w:r w:rsidRPr="00FD62DD">
        <w:rPr>
          <w:sz w:val="24"/>
          <w:szCs w:val="24"/>
          <w:vertAlign w:val="subscript"/>
        </w:rPr>
        <w:t>4</w:t>
      </w:r>
      <w:r w:rsidRPr="00FD62DD">
        <w:rPr>
          <w:sz w:val="24"/>
          <w:szCs w:val="24"/>
          <w:vertAlign w:val="superscript"/>
        </w:rPr>
        <w:t>+</w:t>
      </w:r>
      <w:r w:rsidRPr="00FD62DD">
        <w:rPr>
          <w:sz w:val="24"/>
          <w:szCs w:val="24"/>
        </w:rPr>
        <w:t xml:space="preserve"> are smaller than that of Zn</w:t>
      </w:r>
      <w:r w:rsidRPr="00FD62DD">
        <w:rPr>
          <w:sz w:val="24"/>
          <w:szCs w:val="24"/>
          <w:vertAlign w:val="superscript"/>
        </w:rPr>
        <w:t>2+</w:t>
      </w:r>
      <w:r w:rsidRPr="00FD62DD">
        <w:rPr>
          <w:sz w:val="24"/>
          <w:szCs w:val="24"/>
        </w:rPr>
        <w:t>, it has a faster diffusion rate in aqueous solution, which makes the ionic conductivity of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solution much larger than that of ZnSO</w:t>
      </w:r>
      <w:r w:rsidRPr="00FD62DD">
        <w:rPr>
          <w:sz w:val="24"/>
          <w:szCs w:val="24"/>
          <w:vertAlign w:val="subscript"/>
        </w:rPr>
        <w:t>4</w:t>
      </w:r>
      <w:r w:rsidRPr="00FD62DD">
        <w:rPr>
          <w:sz w:val="24"/>
          <w:szCs w:val="24"/>
        </w:rPr>
        <w:t xml:space="preserve"> solution. With the increase of the proportion</w:t>
      </w:r>
      <w:r w:rsidRPr="00FD62DD">
        <w:rPr>
          <w:sz w:val="24"/>
          <w:szCs w:val="24"/>
        </w:rPr>
        <w:t xml:space="preserve"> of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solution in the mixed electrolyte, the ionic conductivity of the mixed solution shows an obvious increasing trend, which indicates that the addition of NH</w:t>
      </w:r>
      <w:r w:rsidRPr="00FD62DD">
        <w:rPr>
          <w:sz w:val="24"/>
          <w:szCs w:val="24"/>
          <w:vertAlign w:val="subscript"/>
        </w:rPr>
        <w:t>4</w:t>
      </w:r>
      <w:r w:rsidRPr="00FD62DD">
        <w:rPr>
          <w:sz w:val="24"/>
          <w:szCs w:val="24"/>
          <w:vertAlign w:val="superscript"/>
        </w:rPr>
        <w:t>+</w:t>
      </w:r>
      <w:r w:rsidRPr="00FD62DD">
        <w:rPr>
          <w:sz w:val="24"/>
          <w:szCs w:val="24"/>
        </w:rPr>
        <w:t xml:space="preserve"> effectively improves the ionic conductivity of the hybrid-ion electrolyte and increases the total mobility of ions in the electrolyte, which is of great significance to improve the thermoelectric conversion efficiency and response speed of the system.</w:t>
      </w:r>
    </w:p>
    <w:p w14:paraId="0E1FD831" w14:textId="2E850375" w:rsidR="0052323F" w:rsidRPr="00FD62DD" w:rsidRDefault="00981750" w:rsidP="003C02B9">
      <w:pPr>
        <w:spacing w:before="120" w:after="120" w:line="240" w:lineRule="auto"/>
        <w:ind w:firstLineChars="0" w:firstLine="0"/>
        <w:jc w:val="center"/>
      </w:pPr>
      <w:r w:rsidRPr="00FD62DD">
        <w:rPr>
          <w:noProof/>
        </w:rPr>
        <w:lastRenderedPageBreak/>
        <w:drawing>
          <wp:inline distT="0" distB="0" distL="0" distR="0" wp14:anchorId="2BC1A43A" wp14:editId="65E4A672">
            <wp:extent cx="4844328" cy="3709358"/>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861860" cy="3722782"/>
                    </a:xfrm>
                    <a:prstGeom prst="rect">
                      <a:avLst/>
                    </a:prstGeom>
                    <a:noFill/>
                    <a:ln>
                      <a:noFill/>
                    </a:ln>
                  </pic:spPr>
                </pic:pic>
              </a:graphicData>
            </a:graphic>
          </wp:inline>
        </w:drawing>
      </w:r>
    </w:p>
    <w:p w14:paraId="76B590FC" w14:textId="27C62F70" w:rsidR="0052323F" w:rsidRPr="00FD62DD" w:rsidRDefault="00981750" w:rsidP="00107037">
      <w:pPr>
        <w:spacing w:before="120" w:after="120" w:line="240" w:lineRule="auto"/>
        <w:ind w:firstLineChars="0" w:firstLine="0"/>
        <w:rPr>
          <w:sz w:val="24"/>
          <w:szCs w:val="24"/>
        </w:rPr>
      </w:pPr>
      <w:r w:rsidRPr="003C02B9">
        <w:rPr>
          <w:b/>
          <w:bCs/>
          <w:sz w:val="24"/>
          <w:szCs w:val="24"/>
        </w:rPr>
        <w:t>Fig. S9</w:t>
      </w:r>
      <w:r w:rsidRPr="00FD62DD">
        <w:rPr>
          <w:sz w:val="24"/>
          <w:szCs w:val="24"/>
        </w:rPr>
        <w:t xml:space="preserve"> </w:t>
      </w:r>
      <w:r w:rsidRPr="00FD62DD">
        <w:rPr>
          <w:rFonts w:hint="eastAsia"/>
          <w:sz w:val="24"/>
          <w:szCs w:val="24"/>
        </w:rPr>
        <w:t xml:space="preserve">LSV profiles of different electrolytes in </w:t>
      </w:r>
      <w:r w:rsidRPr="00FD62DD">
        <w:rPr>
          <w:sz w:val="24"/>
          <w:szCs w:val="24"/>
        </w:rPr>
        <w:t>Z</w:t>
      </w:r>
      <w:r w:rsidRPr="00FD62DD">
        <w:rPr>
          <w:rFonts w:hint="eastAsia"/>
          <w:sz w:val="24"/>
          <w:szCs w:val="24"/>
        </w:rPr>
        <w:t>n</w:t>
      </w:r>
      <w:r w:rsidRPr="00FD62DD">
        <w:rPr>
          <w:rFonts w:ascii="宋体" w:hAnsi="宋体" w:cs="宋体"/>
          <w:sz w:val="24"/>
          <w:szCs w:val="24"/>
        </w:rPr>
        <w:t>∥</w:t>
      </w:r>
      <w:r w:rsidRPr="00FD62DD">
        <w:rPr>
          <w:sz w:val="24"/>
          <w:szCs w:val="24"/>
        </w:rPr>
        <w:t>SS</w:t>
      </w:r>
      <w:r w:rsidRPr="00FD62DD">
        <w:rPr>
          <w:rFonts w:hint="eastAsia"/>
          <w:sz w:val="24"/>
          <w:szCs w:val="24"/>
        </w:rPr>
        <w:t xml:space="preserve"> cells with a scan rate of 5 m</w:t>
      </w:r>
      <w:r w:rsidRPr="00FD62DD">
        <w:rPr>
          <w:sz w:val="24"/>
          <w:szCs w:val="24"/>
        </w:rPr>
        <w:t xml:space="preserve">V </w:t>
      </w:r>
      <w:r w:rsidRPr="00FD62DD">
        <w:rPr>
          <w:rFonts w:hint="eastAsia"/>
          <w:sz w:val="24"/>
          <w:szCs w:val="24"/>
        </w:rPr>
        <w:t>s</w:t>
      </w:r>
      <w:r w:rsidRPr="00FD62DD">
        <w:rPr>
          <w:sz w:val="24"/>
          <w:szCs w:val="24"/>
          <w:vertAlign w:val="superscript"/>
        </w:rPr>
        <w:t>−1</w:t>
      </w:r>
    </w:p>
    <w:p w14:paraId="649F0B87" w14:textId="2F84347B" w:rsidR="003C02B9" w:rsidRDefault="00981750" w:rsidP="003C02B9">
      <w:pPr>
        <w:spacing w:before="120" w:after="120" w:line="240" w:lineRule="auto"/>
        <w:ind w:firstLineChars="0" w:firstLine="0"/>
        <w:rPr>
          <w:sz w:val="24"/>
          <w:szCs w:val="24"/>
        </w:rPr>
      </w:pPr>
      <w:r w:rsidRPr="00FD62DD">
        <w:rPr>
          <w:sz w:val="24"/>
          <w:szCs w:val="24"/>
        </w:rPr>
        <w:t>Further, the electrochemical stability of different ratios of electrolytes was tested in Zn</w:t>
      </w:r>
      <w:r w:rsidRPr="00FD62DD">
        <w:rPr>
          <w:rFonts w:ascii="宋体" w:eastAsia="宋体" w:hAnsi="宋体" w:cs="宋体" w:hint="eastAsia"/>
          <w:sz w:val="24"/>
          <w:szCs w:val="24"/>
        </w:rPr>
        <w:t>∥</w:t>
      </w:r>
      <w:r w:rsidRPr="00FD62DD">
        <w:rPr>
          <w:sz w:val="24"/>
          <w:szCs w:val="24"/>
        </w:rPr>
        <w:t>stainless steel (SS) asymmetric cells using linear scanning curves (LSV</w:t>
      </w:r>
      <w:r w:rsidRPr="00FD62DD">
        <w:rPr>
          <w:sz w:val="24"/>
          <w:szCs w:val="24"/>
        </w:rPr>
        <w:t>). As shown in Fig. S9, the electrochemical window of the 0.5 M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solution is significantly wider than that of the more 0.25 M ZnSO</w:t>
      </w:r>
      <w:r w:rsidRPr="00FD62DD">
        <w:rPr>
          <w:sz w:val="24"/>
          <w:szCs w:val="24"/>
          <w:vertAlign w:val="subscript"/>
        </w:rPr>
        <w:t>4</w:t>
      </w:r>
      <w:r w:rsidRPr="00FD62DD">
        <w:rPr>
          <w:sz w:val="24"/>
          <w:szCs w:val="24"/>
        </w:rPr>
        <w:t xml:space="preserve"> solution, and the electrochemical window gradually widens as the ratio of the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solution increases. Among t</w:t>
      </w:r>
      <w:r w:rsidRPr="00FD62DD">
        <w:rPr>
          <w:sz w:val="24"/>
          <w:szCs w:val="24"/>
        </w:rPr>
        <w:t>hem, the 0.25 M ZnSO</w:t>
      </w:r>
      <w:r w:rsidRPr="00FD62DD">
        <w:rPr>
          <w:sz w:val="24"/>
          <w:szCs w:val="24"/>
          <w:vertAlign w:val="subscript"/>
        </w:rPr>
        <w:t>4</w:t>
      </w:r>
      <w:r w:rsidRPr="00FD62DD">
        <w:rPr>
          <w:sz w:val="24"/>
          <w:szCs w:val="24"/>
        </w:rPr>
        <w:t xml:space="preserve"> + 0.5 M (NH</w:t>
      </w:r>
      <w:r w:rsidRPr="00FD62DD">
        <w:rPr>
          <w:sz w:val="24"/>
          <w:szCs w:val="24"/>
          <w:vertAlign w:val="subscript"/>
        </w:rPr>
        <w:t>4</w:t>
      </w:r>
      <w:r w:rsidRPr="00FD62DD">
        <w:rPr>
          <w:sz w:val="24"/>
          <w:szCs w:val="24"/>
        </w:rPr>
        <w:t>)</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electrolyte exhibited the widest electrochemical window (&gt;2.2 V) among the three mixed solutions, showing excellent electrochemical stability.</w:t>
      </w:r>
      <w:r w:rsidR="003C02B9">
        <w:rPr>
          <w:sz w:val="24"/>
          <w:szCs w:val="24"/>
        </w:rPr>
        <w:t xml:space="preserve"> </w:t>
      </w:r>
    </w:p>
    <w:p w14:paraId="71F66B14" w14:textId="1F74F31B" w:rsidR="0052323F" w:rsidRPr="00FD62DD" w:rsidRDefault="00981750" w:rsidP="003C02B9">
      <w:pPr>
        <w:spacing w:before="120" w:after="120" w:line="240" w:lineRule="auto"/>
        <w:ind w:firstLineChars="0" w:firstLine="0"/>
        <w:jc w:val="center"/>
      </w:pPr>
      <w:r w:rsidRPr="00FD62DD">
        <w:rPr>
          <w:noProof/>
        </w:rPr>
        <w:drawing>
          <wp:inline distT="0" distB="0" distL="0" distR="0" wp14:anchorId="4EF640D6" wp14:editId="5822389E">
            <wp:extent cx="3025775" cy="234124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025775" cy="2341245"/>
                    </a:xfrm>
                    <a:prstGeom prst="rect">
                      <a:avLst/>
                    </a:prstGeom>
                    <a:noFill/>
                    <a:ln>
                      <a:noFill/>
                    </a:ln>
                  </pic:spPr>
                </pic:pic>
              </a:graphicData>
            </a:graphic>
          </wp:inline>
        </w:drawing>
      </w:r>
    </w:p>
    <w:p w14:paraId="1576C5D2" w14:textId="552BB82C" w:rsidR="0052323F" w:rsidRPr="00FD62DD" w:rsidRDefault="00981750" w:rsidP="003C02B9">
      <w:pPr>
        <w:spacing w:before="120" w:after="120" w:line="240" w:lineRule="auto"/>
        <w:ind w:firstLineChars="0" w:firstLine="0"/>
        <w:jc w:val="left"/>
        <w:rPr>
          <w:sz w:val="24"/>
          <w:szCs w:val="24"/>
        </w:rPr>
      </w:pPr>
      <w:r w:rsidRPr="003C02B9">
        <w:rPr>
          <w:b/>
          <w:bCs/>
          <w:sz w:val="24"/>
          <w:szCs w:val="24"/>
        </w:rPr>
        <w:t>Fig. S10</w:t>
      </w:r>
      <w:r w:rsidRPr="00FD62DD">
        <w:rPr>
          <w:sz w:val="24"/>
          <w:szCs w:val="24"/>
        </w:rPr>
        <w:t xml:space="preserve"> Self-charging curves of three thermal charging cells</w:t>
      </w:r>
    </w:p>
    <w:p w14:paraId="0D777ACF" w14:textId="77777777" w:rsidR="0052323F" w:rsidRPr="00FD62DD" w:rsidRDefault="00981750" w:rsidP="00107037">
      <w:pPr>
        <w:spacing w:before="120" w:after="120" w:line="240" w:lineRule="auto"/>
        <w:ind w:firstLineChars="0" w:firstLine="0"/>
        <w:jc w:val="center"/>
      </w:pPr>
      <w:r w:rsidRPr="00FD62DD">
        <w:rPr>
          <w:noProof/>
        </w:rPr>
        <w:lastRenderedPageBreak/>
        <w:drawing>
          <wp:inline distT="0" distB="0" distL="0" distR="0" wp14:anchorId="33E2EE4D" wp14:editId="23DCBED7">
            <wp:extent cx="3025775" cy="234124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3025775" cy="2341245"/>
                    </a:xfrm>
                    <a:prstGeom prst="rect">
                      <a:avLst/>
                    </a:prstGeom>
                    <a:noFill/>
                    <a:ln>
                      <a:noFill/>
                    </a:ln>
                  </pic:spPr>
                </pic:pic>
              </a:graphicData>
            </a:graphic>
          </wp:inline>
        </w:drawing>
      </w:r>
    </w:p>
    <w:p w14:paraId="46C60EAC" w14:textId="4164BE61" w:rsidR="0052323F" w:rsidRPr="00FD62DD" w:rsidRDefault="00981750" w:rsidP="003C02B9">
      <w:pPr>
        <w:spacing w:before="120" w:after="120" w:line="240" w:lineRule="auto"/>
        <w:ind w:firstLineChars="0" w:firstLine="0"/>
        <w:jc w:val="left"/>
        <w:rPr>
          <w:sz w:val="24"/>
          <w:szCs w:val="24"/>
        </w:rPr>
      </w:pPr>
      <w:r w:rsidRPr="003C02B9">
        <w:rPr>
          <w:b/>
          <w:bCs/>
          <w:sz w:val="24"/>
          <w:szCs w:val="24"/>
        </w:rPr>
        <w:t>Fi</w:t>
      </w:r>
      <w:r w:rsidRPr="003C02B9">
        <w:rPr>
          <w:b/>
          <w:bCs/>
          <w:sz w:val="24"/>
          <w:szCs w:val="24"/>
        </w:rPr>
        <w:t>g. S11</w:t>
      </w:r>
      <w:r w:rsidRPr="00FD62DD">
        <w:rPr>
          <w:sz w:val="24"/>
          <w:szCs w:val="24"/>
        </w:rPr>
        <w:t xml:space="preserve"> Temperature coefficients of various systems</w:t>
      </w:r>
    </w:p>
    <w:p w14:paraId="78AB6301" w14:textId="77777777" w:rsidR="00A04283" w:rsidRDefault="00A04283" w:rsidP="00107037">
      <w:pPr>
        <w:spacing w:before="120" w:after="120" w:line="240" w:lineRule="auto"/>
        <w:ind w:firstLineChars="0" w:firstLine="0"/>
        <w:rPr>
          <w:sz w:val="24"/>
          <w:szCs w:val="24"/>
        </w:rPr>
      </w:pPr>
    </w:p>
    <w:p w14:paraId="372DBC9E" w14:textId="044C281C" w:rsidR="0052323F" w:rsidRPr="00FD62DD" w:rsidRDefault="00981750" w:rsidP="00107037">
      <w:pPr>
        <w:spacing w:before="120" w:after="120" w:line="240" w:lineRule="auto"/>
        <w:ind w:firstLineChars="0" w:firstLine="0"/>
        <w:rPr>
          <w:sz w:val="24"/>
          <w:szCs w:val="24"/>
        </w:rPr>
      </w:pPr>
      <w:r w:rsidRPr="00FD62DD">
        <w:rPr>
          <w:sz w:val="24"/>
          <w:szCs w:val="24"/>
        </w:rPr>
        <w:t>T</w:t>
      </w:r>
      <w:r w:rsidRPr="00FD62DD">
        <w:rPr>
          <w:sz w:val="24"/>
          <w:szCs w:val="24"/>
        </w:rPr>
        <w:t xml:space="preserve">o deeply understand the contribution of thermal diffusion and thermoextraction processes to the thermopower of HTCC, as shown in Fig. S11, we assembled four symmetric </w:t>
      </w:r>
      <w:bookmarkStart w:id="6" w:name="_Hlk180434206"/>
      <w:r w:rsidRPr="00FD62DD">
        <w:rPr>
          <w:sz w:val="24"/>
          <w:szCs w:val="24"/>
        </w:rPr>
        <w:t xml:space="preserve">non-isothermal H-type electrolytic </w:t>
      </w:r>
      <w:r w:rsidRPr="00FD62DD">
        <w:rPr>
          <w:sz w:val="24"/>
          <w:szCs w:val="24"/>
        </w:rPr>
        <w:t>cells</w:t>
      </w:r>
      <w:bookmarkEnd w:id="6"/>
      <w:r w:rsidRPr="00FD62DD">
        <w:rPr>
          <w:sz w:val="24"/>
          <w:szCs w:val="24"/>
        </w:rPr>
        <w:t>. The total thermopower value can be divided into four components as shown in Eq. S1:</w:t>
      </w:r>
    </w:p>
    <w:p w14:paraId="70A9D4F5" w14:textId="77777777" w:rsidR="0052323F" w:rsidRPr="00FD62DD" w:rsidRDefault="00981750" w:rsidP="00107037">
      <w:pPr>
        <w:spacing w:before="120" w:after="120" w:line="240" w:lineRule="auto"/>
        <w:ind w:firstLineChars="0" w:firstLine="0"/>
        <w:rPr>
          <w:sz w:val="24"/>
          <w:szCs w:val="24"/>
        </w:rPr>
      </w:pPr>
      <m:oMath>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w:bookmarkStart w:id="7" w:name="_Hlk187325908"/>
            <m:r>
              <w:rPr>
                <w:rFonts w:ascii="Cambria Math" w:hAnsi="Cambria Math"/>
                <w:sz w:val="24"/>
                <w:szCs w:val="24"/>
              </w:rPr>
              <m:t>α</m:t>
            </m:r>
          </m:e>
          <m:sub>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Zn</m:t>
                    </m:r>
                  </m:e>
                  <m:sub>
                    <m:r>
                      <w:rPr>
                        <w:rFonts w:ascii="Cambria Math" w:hAnsi="Cambria Math"/>
                        <w:sz w:val="24"/>
                        <w:szCs w:val="24"/>
                      </w:rPr>
                      <m:t>x</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NH</m:t>
                    </m:r>
                  </m:e>
                  <m:sub>
                    <m:r>
                      <w:rPr>
                        <w:rFonts w:ascii="Cambria Math" w:hAnsi="Cambria Math"/>
                        <w:sz w:val="24"/>
                        <w:szCs w:val="24"/>
                      </w:rPr>
                      <m:t>4</m:t>
                    </m:r>
                  </m:sub>
                </m:sSub>
                <m:r>
                  <w:rPr>
                    <w:rFonts w:ascii="Cambria Math" w:hAnsi="Cambria Math"/>
                    <w:sz w:val="24"/>
                    <w:szCs w:val="24"/>
                  </w:rPr>
                  <m:t>)</m:t>
                </m:r>
              </m:e>
              <m:sub>
                <m:r>
                  <w:rPr>
                    <w:rFonts w:ascii="Cambria Math" w:hAnsi="Cambria Math"/>
                    <w:sz w:val="24"/>
                    <w:szCs w:val="24"/>
                  </w:rPr>
                  <m:t>y</m:t>
                </m:r>
              </m:sub>
            </m:sSub>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2</m:t>
                </m:r>
              </m:sub>
            </m:sSub>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5</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2</m:t>
                </m:r>
              </m:sub>
            </m:sSub>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5</m:t>
                </m:r>
              </m:sub>
            </m:sSub>
            <w:bookmarkEnd w:id="7"/>
          </m:sub>
        </m:sSub>
        <m:r>
          <w:rPr>
            <w:rFonts w:ascii="Cambria Math" w:hAnsi="Cambria Math"/>
            <w:sz w:val="24"/>
            <w:szCs w:val="24"/>
          </w:rPr>
          <m:t>+</m:t>
        </m:r>
        <w:bookmarkStart w:id="8" w:name="_Hlk187326287"/>
        <m:sSub>
          <m:sSubPr>
            <m:ctrlPr>
              <w:rPr>
                <w:rFonts w:ascii="Cambria Math" w:hAnsi="Cambria Math"/>
                <w:i/>
                <w:sz w:val="24"/>
                <w:szCs w:val="24"/>
              </w:rPr>
            </m:ctrlPr>
          </m:sSubPr>
          <m:e>
            <m:r>
              <w:rPr>
                <w:rFonts w:ascii="Cambria Math" w:hAnsi="Cambria Math"/>
                <w:sz w:val="24"/>
                <w:szCs w:val="24"/>
              </w:rPr>
              <m:t>α</m:t>
            </m:r>
          </m:e>
          <m:sub>
            <m:r>
              <w:rPr>
                <w:rFonts w:ascii="Cambria Math" w:hAnsi="Cambria Math"/>
                <w:sz w:val="24"/>
                <w:szCs w:val="24"/>
              </w:rPr>
              <m:t>Zn</m:t>
            </m:r>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Zn</m:t>
                </m:r>
              </m:e>
              <m:sup>
                <m:r>
                  <w:rPr>
                    <w:rFonts w:ascii="Cambria Math" w:hAnsi="Cambria Math"/>
                    <w:sz w:val="24"/>
                    <w:szCs w:val="24"/>
                  </w:rPr>
                  <m:t>2+</m:t>
                </m:r>
              </m:sup>
            </m:sSup>
          </m:sub>
        </m:sSub>
        <w:bookmarkEnd w:id="8"/>
        <m:r>
          <w:rPr>
            <w:rFonts w:ascii="Cambria Math" w:hAnsi="Cambria Math"/>
            <w:sz w:val="24"/>
            <w:szCs w:val="24"/>
          </w:rPr>
          <m:t>+</m:t>
        </m:r>
        <m:sSub>
          <m:sSubPr>
            <m:ctrlPr>
              <w:rPr>
                <w:rFonts w:ascii="Cambria Math" w:hAnsi="Cambria Math"/>
                <w:i/>
                <w:sz w:val="24"/>
                <w:szCs w:val="24"/>
              </w:rPr>
            </m:ctrlPr>
          </m:sSubPr>
          <m:e>
            <w:bookmarkStart w:id="9" w:name="_Hlk187326156"/>
            <m:r>
              <w:rPr>
                <w:rFonts w:ascii="Cambria Math" w:hAnsi="Cambria Math"/>
                <w:sz w:val="24"/>
                <w:szCs w:val="24"/>
              </w:rPr>
              <m:t>S</m:t>
            </m:r>
          </m:e>
          <m:sub>
            <m:r>
              <w:rPr>
                <w:rFonts w:ascii="Cambria Math" w:hAnsi="Cambria Math"/>
                <w:sz w:val="24"/>
                <w:szCs w:val="24"/>
              </w:rPr>
              <m:t>td</m:t>
            </m:r>
            <m:r>
              <w:rPr>
                <w:rFonts w:ascii="Cambria Math" w:hAnsi="Cambria Math"/>
                <w:sz w:val="24"/>
                <w:szCs w:val="24"/>
              </w:rPr>
              <m:t>(</m:t>
            </m:r>
            <m:r>
              <w:rPr>
                <w:rFonts w:ascii="Cambria Math" w:hAnsi="Cambria Math"/>
                <w:sz w:val="24"/>
                <w:szCs w:val="24"/>
              </w:rPr>
              <m:t>electrolyte</m:t>
            </m:r>
            <m:r>
              <w:rPr>
                <w:rFonts w:ascii="Cambria Math" w:hAnsi="Cambria Math"/>
                <w:sz w:val="24"/>
                <w:szCs w:val="24"/>
              </w:rPr>
              <m:t>)</m:t>
            </m:r>
            <w:bookmarkEnd w:id="9"/>
          </m:sub>
        </m:sSub>
        <m:r>
          <w:rPr>
            <w:rFonts w:ascii="Cambria Math" w:hAnsi="Cambria Math"/>
            <w:sz w:val="24"/>
            <w:szCs w:val="24"/>
          </w:rPr>
          <m:t>+</m:t>
        </m:r>
        <w:bookmarkStart w:id="10" w:name="_Hlk187325922"/>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td</m:t>
            </m:r>
            <m:r>
              <w:rPr>
                <w:rFonts w:ascii="Cambria Math" w:hAnsi="Cambria Math"/>
                <w:sz w:val="24"/>
                <w:szCs w:val="24"/>
              </w:rPr>
              <m:t>(</m:t>
            </m:r>
            <m:r>
              <w:rPr>
                <w:rFonts w:ascii="Cambria Math" w:hAnsi="Cambria Math"/>
                <w:sz w:val="24"/>
                <w:szCs w:val="24"/>
              </w:rPr>
              <m:t>electrode</m:t>
            </m:r>
            <m:r>
              <w:rPr>
                <w:rFonts w:ascii="Cambria Math" w:hAnsi="Cambria Math"/>
                <w:sz w:val="24"/>
                <w:szCs w:val="24"/>
              </w:rPr>
              <m:t>)</m:t>
            </m:r>
          </m:sub>
        </m:sSub>
      </m:oMath>
      <w:bookmarkEnd w:id="10"/>
      <w:r w:rsidRPr="00FD62DD">
        <w:rPr>
          <w:sz w:val="24"/>
          <w:szCs w:val="24"/>
        </w:rPr>
        <w:tab/>
      </w:r>
      <w:r w:rsidRPr="00FD62DD">
        <w:rPr>
          <w:sz w:val="24"/>
          <w:szCs w:val="24"/>
        </w:rPr>
        <w:tab/>
      </w:r>
      <w:r w:rsidRPr="00FD62DD">
        <w:rPr>
          <w:sz w:val="24"/>
          <w:szCs w:val="24"/>
        </w:rPr>
        <w:tab/>
      </w:r>
      <w:r w:rsidRPr="00FD62DD">
        <w:rPr>
          <w:sz w:val="24"/>
          <w:szCs w:val="24"/>
        </w:rPr>
        <w:tab/>
      </w:r>
      <w:r w:rsidRPr="00FD62DD">
        <w:rPr>
          <w:sz w:val="24"/>
          <w:szCs w:val="24"/>
        </w:rPr>
        <w:tab/>
        <w:t>(S1)</w:t>
      </w:r>
    </w:p>
    <w:p w14:paraId="5FF5F454" w14:textId="7C3F9686" w:rsidR="0052323F" w:rsidRPr="00FD62DD" w:rsidRDefault="00981750" w:rsidP="00107037">
      <w:pPr>
        <w:spacing w:before="120" w:after="120" w:line="240" w:lineRule="auto"/>
        <w:ind w:firstLineChars="0" w:firstLine="0"/>
        <w:rPr>
          <w:sz w:val="24"/>
          <w:szCs w:val="24"/>
        </w:rPr>
      </w:pPr>
      <w:r w:rsidRPr="00FD62DD">
        <w:rPr>
          <w:sz w:val="24"/>
          <w:szCs w:val="24"/>
        </w:rPr>
        <w:t>The thermal charging response of Pt</w:t>
      </w:r>
      <w:r w:rsidRPr="00FD62DD">
        <w:rPr>
          <w:rFonts w:ascii="宋体" w:eastAsia="宋体" w:hAnsi="宋体" w:cs="宋体" w:hint="eastAsia"/>
          <w:sz w:val="24"/>
          <w:szCs w:val="24"/>
        </w:rPr>
        <w:t>∥</w:t>
      </w:r>
      <w:r w:rsidRPr="00FD62DD">
        <w:rPr>
          <w:sz w:val="24"/>
          <w:szCs w:val="24"/>
        </w:rPr>
        <w:t xml:space="preserve">Pt (1.35 mV </w:t>
      </w:r>
      <w:r w:rsidRPr="00FD62DD">
        <w:rPr>
          <w:sz w:val="24"/>
          <w:szCs w:val="24"/>
        </w:rPr>
        <w:t>K</w:t>
      </w:r>
      <w:r w:rsidRPr="00FD62DD">
        <w:rPr>
          <w:sz w:val="24"/>
          <w:szCs w:val="24"/>
          <w:vertAlign w:val="superscript"/>
        </w:rPr>
        <w:t>−1</w:t>
      </w:r>
      <w:r w:rsidRPr="00FD62DD">
        <w:rPr>
          <w:sz w:val="24"/>
          <w:szCs w:val="24"/>
        </w:rPr>
        <w:t>) represents the thermodiffusion of ions in the electrolyte. Notably, when using Zn as electrodes, the value is 0.73 mV K</w:t>
      </w:r>
      <w:r w:rsidRPr="00FD62DD">
        <w:rPr>
          <w:sz w:val="24"/>
          <w:szCs w:val="24"/>
          <w:vertAlign w:val="superscript"/>
        </w:rPr>
        <w:t>−1</w:t>
      </w:r>
      <w:r w:rsidRPr="00FD62DD">
        <w:rPr>
          <w:sz w:val="24"/>
          <w:szCs w:val="24"/>
        </w:rPr>
        <w:t>, which indicates the deposition/stripping process of Zn</w:t>
      </w:r>
      <w:r w:rsidRPr="00FD62DD">
        <w:rPr>
          <w:sz w:val="24"/>
          <w:szCs w:val="24"/>
          <w:vertAlign w:val="superscript"/>
        </w:rPr>
        <w:t>2+</w:t>
      </w:r>
      <w:r w:rsidRPr="00FD62DD">
        <w:rPr>
          <w:sz w:val="24"/>
          <w:szCs w:val="24"/>
        </w:rPr>
        <w:t xml:space="preserve"> on the Zn foil anode. Meanwhile, the thermopower from the reaction between Zn</w:t>
      </w:r>
      <w:r w:rsidRPr="00FD62DD">
        <w:rPr>
          <w:sz w:val="24"/>
          <w:szCs w:val="24"/>
          <w:vertAlign w:val="subscript"/>
        </w:rPr>
        <w:t>x</w:t>
      </w:r>
      <w:r w:rsidRPr="00FD62DD">
        <w:rPr>
          <w:sz w:val="24"/>
          <w:szCs w:val="24"/>
        </w:rPr>
        <w:t>(NH</w:t>
      </w:r>
      <w:r w:rsidRPr="00FD62DD">
        <w:rPr>
          <w:sz w:val="24"/>
          <w:szCs w:val="24"/>
          <w:vertAlign w:val="subscript"/>
        </w:rPr>
        <w:t>4</w:t>
      </w:r>
      <w:r w:rsidRPr="00FD62DD">
        <w:rPr>
          <w:sz w:val="24"/>
          <w:szCs w:val="24"/>
        </w:rPr>
        <w:t>)</w:t>
      </w:r>
      <w:r w:rsidRPr="00FD62DD">
        <w:rPr>
          <w:sz w:val="24"/>
          <w:szCs w:val="24"/>
          <w:vertAlign w:val="subscript"/>
        </w:rPr>
        <w:t>y</w:t>
      </w:r>
      <w:r w:rsidRPr="00FD62DD">
        <w:rPr>
          <w:sz w:val="24"/>
          <w:szCs w:val="24"/>
        </w:rPr>
        <w:t>V</w:t>
      </w:r>
      <w:r w:rsidRPr="00FD62DD">
        <w:rPr>
          <w:sz w:val="24"/>
          <w:szCs w:val="24"/>
          <w:vertAlign w:val="subscript"/>
        </w:rPr>
        <w:t>2</w:t>
      </w:r>
      <w:r w:rsidRPr="00FD62DD">
        <w:rPr>
          <w:sz w:val="24"/>
          <w:szCs w:val="24"/>
        </w:rPr>
        <w:t>O</w:t>
      </w:r>
      <w:r w:rsidRPr="00FD62DD">
        <w:rPr>
          <w:sz w:val="24"/>
          <w:szCs w:val="24"/>
          <w:vertAlign w:val="subscript"/>
        </w:rPr>
        <w:t>5</w:t>
      </w:r>
      <w:r w:rsidRPr="00FD62DD">
        <w:rPr>
          <w:sz w:val="24"/>
          <w:szCs w:val="24"/>
        </w:rPr>
        <w:t xml:space="preserve"> and V</w:t>
      </w:r>
      <w:r w:rsidRPr="00FD62DD">
        <w:rPr>
          <w:sz w:val="24"/>
          <w:szCs w:val="24"/>
          <w:vertAlign w:val="subscript"/>
        </w:rPr>
        <w:t>2</w:t>
      </w:r>
      <w:r w:rsidRPr="00FD62DD">
        <w:rPr>
          <w:sz w:val="24"/>
          <w:szCs w:val="24"/>
        </w:rPr>
        <w:t>O</w:t>
      </w:r>
      <w:r w:rsidRPr="00FD62DD">
        <w:rPr>
          <w:sz w:val="24"/>
          <w:szCs w:val="24"/>
          <w:vertAlign w:val="subscript"/>
        </w:rPr>
        <w:t>5</w:t>
      </w:r>
      <w:r w:rsidRPr="00FD62DD">
        <w:rPr>
          <w:sz w:val="24"/>
          <w:szCs w:val="24"/>
        </w:rPr>
        <w:t xml:space="preserve"> is about 5.13 mV K</w:t>
      </w:r>
      <w:r w:rsidRPr="00FD62DD">
        <w:rPr>
          <w:sz w:val="24"/>
          <w:szCs w:val="24"/>
          <w:vertAlign w:val="superscript"/>
        </w:rPr>
        <w:t>−1</w:t>
      </w:r>
      <w:r w:rsidRPr="00FD62DD">
        <w:rPr>
          <w:sz w:val="24"/>
          <w:szCs w:val="24"/>
        </w:rPr>
        <w:t>, distinguished by the values obtained by Zn</w:t>
      </w:r>
      <w:r w:rsidRPr="00FD62DD">
        <w:rPr>
          <w:sz w:val="24"/>
          <w:szCs w:val="24"/>
          <w:vertAlign w:val="subscript"/>
        </w:rPr>
        <w:t>x</w:t>
      </w:r>
      <w:r w:rsidRPr="00FD62DD">
        <w:rPr>
          <w:sz w:val="24"/>
          <w:szCs w:val="24"/>
        </w:rPr>
        <w:t>(NH</w:t>
      </w:r>
      <w:r w:rsidRPr="00FD62DD">
        <w:rPr>
          <w:sz w:val="24"/>
          <w:szCs w:val="24"/>
          <w:vertAlign w:val="subscript"/>
        </w:rPr>
        <w:t>4</w:t>
      </w:r>
      <w:r w:rsidRPr="00FD62DD">
        <w:rPr>
          <w:sz w:val="24"/>
          <w:szCs w:val="24"/>
        </w:rPr>
        <w:t>)</w:t>
      </w:r>
      <w:r w:rsidRPr="00FD62DD">
        <w:rPr>
          <w:sz w:val="24"/>
          <w:szCs w:val="24"/>
          <w:vertAlign w:val="subscript"/>
        </w:rPr>
        <w:t>y</w:t>
      </w:r>
      <w:r w:rsidRPr="00FD62DD">
        <w:rPr>
          <w:sz w:val="24"/>
          <w:szCs w:val="24"/>
        </w:rPr>
        <w:t>V</w:t>
      </w:r>
      <w:r w:rsidRPr="00FD62DD">
        <w:rPr>
          <w:sz w:val="24"/>
          <w:szCs w:val="24"/>
          <w:vertAlign w:val="subscript"/>
        </w:rPr>
        <w:t>2</w:t>
      </w:r>
      <w:r w:rsidRPr="00FD62DD">
        <w:rPr>
          <w:sz w:val="24"/>
          <w:szCs w:val="24"/>
        </w:rPr>
        <w:t>O</w:t>
      </w:r>
      <w:r w:rsidRPr="00FD62DD">
        <w:rPr>
          <w:sz w:val="24"/>
          <w:szCs w:val="24"/>
          <w:vertAlign w:val="subscript"/>
        </w:rPr>
        <w:t>5</w:t>
      </w:r>
      <w:r w:rsidRPr="00FD62DD">
        <w:rPr>
          <w:rFonts w:hint="eastAsia"/>
          <w:sz w:val="24"/>
          <w:szCs w:val="24"/>
        </w:rPr>
        <w:t>∥</w:t>
      </w:r>
      <w:r w:rsidRPr="00FD62DD">
        <w:rPr>
          <w:sz w:val="24"/>
          <w:szCs w:val="24"/>
        </w:rPr>
        <w:t>Zn</w:t>
      </w:r>
      <w:r w:rsidRPr="00FD62DD">
        <w:rPr>
          <w:sz w:val="24"/>
          <w:szCs w:val="24"/>
          <w:vertAlign w:val="subscript"/>
        </w:rPr>
        <w:t>x</w:t>
      </w:r>
      <w:r w:rsidRPr="00FD62DD">
        <w:rPr>
          <w:sz w:val="24"/>
          <w:szCs w:val="24"/>
        </w:rPr>
        <w:t>(NH</w:t>
      </w:r>
      <w:r w:rsidRPr="00FD62DD">
        <w:rPr>
          <w:sz w:val="24"/>
          <w:szCs w:val="24"/>
          <w:vertAlign w:val="subscript"/>
        </w:rPr>
        <w:t>4</w:t>
      </w:r>
      <w:r w:rsidRPr="00FD62DD">
        <w:rPr>
          <w:sz w:val="24"/>
          <w:szCs w:val="24"/>
        </w:rPr>
        <w:t>)</w:t>
      </w:r>
      <w:r w:rsidRPr="00FD62DD">
        <w:rPr>
          <w:sz w:val="24"/>
          <w:szCs w:val="24"/>
          <w:vertAlign w:val="subscript"/>
        </w:rPr>
        <w:t>y</w:t>
      </w:r>
      <w:r w:rsidRPr="00FD62DD">
        <w:rPr>
          <w:sz w:val="24"/>
          <w:szCs w:val="24"/>
        </w:rPr>
        <w:t>V</w:t>
      </w:r>
      <w:r w:rsidRPr="00FD62DD">
        <w:rPr>
          <w:sz w:val="24"/>
          <w:szCs w:val="24"/>
          <w:vertAlign w:val="subscript"/>
        </w:rPr>
        <w:t>2</w:t>
      </w:r>
      <w:r w:rsidRPr="00FD62DD">
        <w:rPr>
          <w:sz w:val="24"/>
          <w:szCs w:val="24"/>
        </w:rPr>
        <w:t>O</w:t>
      </w:r>
      <w:r w:rsidRPr="00FD62DD">
        <w:rPr>
          <w:sz w:val="24"/>
          <w:szCs w:val="24"/>
          <w:vertAlign w:val="subscript"/>
        </w:rPr>
        <w:t>5</w:t>
      </w:r>
      <w:r w:rsidRPr="00FD62DD">
        <w:rPr>
          <w:sz w:val="24"/>
          <w:szCs w:val="24"/>
        </w:rPr>
        <w:t xml:space="preserve"> and V</w:t>
      </w:r>
      <w:r w:rsidRPr="00FD62DD">
        <w:rPr>
          <w:sz w:val="24"/>
          <w:szCs w:val="24"/>
          <w:vertAlign w:val="subscript"/>
        </w:rPr>
        <w:t>2</w:t>
      </w:r>
      <w:r w:rsidRPr="00FD62DD">
        <w:rPr>
          <w:sz w:val="24"/>
          <w:szCs w:val="24"/>
        </w:rPr>
        <w:t>O</w:t>
      </w:r>
      <w:r w:rsidRPr="00FD62DD">
        <w:rPr>
          <w:sz w:val="24"/>
          <w:szCs w:val="24"/>
          <w:vertAlign w:val="subscript"/>
        </w:rPr>
        <w:t>5</w:t>
      </w:r>
      <w:r w:rsidRPr="00FD62DD">
        <w:rPr>
          <w:rFonts w:hint="eastAsia"/>
          <w:sz w:val="24"/>
          <w:szCs w:val="24"/>
        </w:rPr>
        <w:t>∥</w:t>
      </w:r>
      <w:r w:rsidRPr="00FD62DD">
        <w:rPr>
          <w:sz w:val="24"/>
          <w:szCs w:val="24"/>
        </w:rPr>
        <w:t>V</w:t>
      </w:r>
      <w:r w:rsidRPr="00FD62DD">
        <w:rPr>
          <w:sz w:val="24"/>
          <w:szCs w:val="24"/>
          <w:vertAlign w:val="subscript"/>
        </w:rPr>
        <w:t>2</w:t>
      </w:r>
      <w:r w:rsidRPr="00FD62DD">
        <w:rPr>
          <w:sz w:val="24"/>
          <w:szCs w:val="24"/>
        </w:rPr>
        <w:t>O</w:t>
      </w:r>
      <w:r w:rsidRPr="00FD62DD">
        <w:rPr>
          <w:sz w:val="24"/>
          <w:szCs w:val="24"/>
          <w:vertAlign w:val="subscript"/>
        </w:rPr>
        <w:t>5</w:t>
      </w:r>
      <w:r w:rsidRPr="00FD62DD">
        <w:rPr>
          <w:sz w:val="24"/>
          <w:szCs w:val="24"/>
        </w:rPr>
        <w:t>.</w:t>
      </w:r>
    </w:p>
    <w:p w14:paraId="79AB1853" w14:textId="77777777" w:rsidR="0052323F" w:rsidRPr="00FD62DD" w:rsidRDefault="00981750" w:rsidP="00107037">
      <w:pPr>
        <w:spacing w:before="120" w:after="120" w:line="240" w:lineRule="auto"/>
        <w:ind w:firstLineChars="0" w:firstLine="0"/>
        <w:jc w:val="center"/>
        <w:rPr>
          <w:sz w:val="24"/>
          <w:szCs w:val="24"/>
        </w:rPr>
      </w:pPr>
      <w:r w:rsidRPr="00FD62DD">
        <w:rPr>
          <w:noProof/>
          <w:sz w:val="24"/>
          <w:szCs w:val="24"/>
        </w:rPr>
        <w:drawing>
          <wp:inline distT="0" distB="0" distL="0" distR="0" wp14:anchorId="669200CA" wp14:editId="1A6854A6">
            <wp:extent cx="3009900" cy="2333368"/>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016760" cy="2338686"/>
                    </a:xfrm>
                    <a:prstGeom prst="rect">
                      <a:avLst/>
                    </a:prstGeom>
                    <a:noFill/>
                    <a:ln>
                      <a:noFill/>
                    </a:ln>
                  </pic:spPr>
                </pic:pic>
              </a:graphicData>
            </a:graphic>
          </wp:inline>
        </w:drawing>
      </w:r>
    </w:p>
    <w:p w14:paraId="33D111E1" w14:textId="2E7E9522" w:rsidR="0052323F" w:rsidRPr="00FD62DD" w:rsidRDefault="00981750" w:rsidP="003C02B9">
      <w:pPr>
        <w:spacing w:before="120" w:after="120" w:line="240" w:lineRule="auto"/>
        <w:ind w:firstLineChars="0" w:firstLine="0"/>
        <w:jc w:val="left"/>
        <w:rPr>
          <w:sz w:val="24"/>
          <w:szCs w:val="24"/>
        </w:rPr>
      </w:pPr>
      <w:r w:rsidRPr="003C02B9">
        <w:rPr>
          <w:b/>
          <w:bCs/>
          <w:sz w:val="24"/>
          <w:szCs w:val="24"/>
        </w:rPr>
        <w:t>Fig. S12</w:t>
      </w:r>
      <w:r w:rsidRPr="00FD62DD">
        <w:rPr>
          <w:sz w:val="24"/>
          <w:szCs w:val="24"/>
        </w:rPr>
        <w:t xml:space="preserve"> Inter resistance of three </w:t>
      </w:r>
      <w:r w:rsidRPr="00FD62DD">
        <w:rPr>
          <w:sz w:val="24"/>
          <w:szCs w:val="24"/>
        </w:rPr>
        <w:t>thermal charging cells</w:t>
      </w:r>
    </w:p>
    <w:p w14:paraId="15088B3D" w14:textId="77777777" w:rsidR="0052323F" w:rsidRPr="00FD62DD" w:rsidRDefault="00981750" w:rsidP="00107037">
      <w:pPr>
        <w:spacing w:before="120" w:after="120" w:line="240" w:lineRule="auto"/>
        <w:ind w:firstLineChars="0" w:firstLine="0"/>
        <w:jc w:val="center"/>
        <w:rPr>
          <w:sz w:val="24"/>
          <w:szCs w:val="24"/>
        </w:rPr>
      </w:pPr>
      <w:r w:rsidRPr="00FD62DD">
        <w:rPr>
          <w:noProof/>
          <w:sz w:val="24"/>
          <w:szCs w:val="24"/>
        </w:rPr>
        <w:lastRenderedPageBreak/>
        <w:drawing>
          <wp:inline distT="0" distB="0" distL="0" distR="0" wp14:anchorId="36C733AB" wp14:editId="09978817">
            <wp:extent cx="3304600" cy="25590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305634" cy="2559851"/>
                    </a:xfrm>
                    <a:prstGeom prst="rect">
                      <a:avLst/>
                    </a:prstGeom>
                    <a:noFill/>
                    <a:ln>
                      <a:noFill/>
                    </a:ln>
                  </pic:spPr>
                </pic:pic>
              </a:graphicData>
            </a:graphic>
          </wp:inline>
        </w:drawing>
      </w:r>
    </w:p>
    <w:p w14:paraId="174D3C4A" w14:textId="7A0AEDC6" w:rsidR="00356C80" w:rsidRDefault="00981750" w:rsidP="00356C80">
      <w:pPr>
        <w:spacing w:before="120" w:after="120" w:line="240" w:lineRule="auto"/>
        <w:ind w:firstLineChars="0" w:firstLine="0"/>
        <w:jc w:val="left"/>
        <w:rPr>
          <w:sz w:val="24"/>
          <w:szCs w:val="24"/>
        </w:rPr>
      </w:pPr>
      <w:r w:rsidRPr="00356C80">
        <w:rPr>
          <w:b/>
          <w:bCs/>
          <w:sz w:val="24"/>
          <w:szCs w:val="24"/>
        </w:rPr>
        <w:t>Fig. S13</w:t>
      </w:r>
      <w:r w:rsidRPr="00FD62DD">
        <w:rPr>
          <w:sz w:val="24"/>
          <w:szCs w:val="24"/>
        </w:rPr>
        <w:t xml:space="preserve"> Energy conversion efficiency of three thermal charging cells</w:t>
      </w:r>
    </w:p>
    <w:p w14:paraId="1050CC41" w14:textId="77777777" w:rsidR="00B51BBB" w:rsidRDefault="00B51BBB" w:rsidP="00356C80">
      <w:pPr>
        <w:spacing w:before="120" w:after="120" w:line="240" w:lineRule="auto"/>
        <w:ind w:firstLineChars="0" w:firstLine="0"/>
        <w:jc w:val="left"/>
        <w:rPr>
          <w:sz w:val="24"/>
          <w:szCs w:val="24"/>
        </w:rPr>
      </w:pPr>
    </w:p>
    <w:p w14:paraId="39FE9E1C" w14:textId="69E52870" w:rsidR="0052323F" w:rsidRPr="00FD62DD" w:rsidRDefault="00981750" w:rsidP="00356C80">
      <w:pPr>
        <w:spacing w:before="120" w:after="120" w:line="240" w:lineRule="auto"/>
        <w:ind w:firstLineChars="0" w:firstLine="0"/>
        <w:jc w:val="left"/>
      </w:pPr>
      <w:r w:rsidRPr="00FD62DD">
        <w:rPr>
          <w:noProof/>
        </w:rPr>
        <w:drawing>
          <wp:inline distT="0" distB="0" distL="0" distR="0" wp14:anchorId="4C58443F" wp14:editId="7400799C">
            <wp:extent cx="5888561" cy="34607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1" cstate="print">
                      <a:extLst>
                        <a:ext uri="{28A0092B-C50C-407E-A947-70E740481C1C}">
                          <a14:useLocalDpi xmlns:a14="http://schemas.microsoft.com/office/drawing/2010/main" val="0"/>
                        </a:ext>
                      </a:extLst>
                    </a:blip>
                    <a:srcRect l="1276" r="2892"/>
                    <a:stretch>
                      <a:fillRect/>
                    </a:stretch>
                  </pic:blipFill>
                  <pic:spPr>
                    <a:xfrm>
                      <a:off x="0" y="0"/>
                      <a:ext cx="5921170" cy="3479915"/>
                    </a:xfrm>
                    <a:prstGeom prst="rect">
                      <a:avLst/>
                    </a:prstGeom>
                    <a:noFill/>
                    <a:ln>
                      <a:noFill/>
                    </a:ln>
                  </pic:spPr>
                </pic:pic>
              </a:graphicData>
            </a:graphic>
          </wp:inline>
        </w:drawing>
      </w:r>
    </w:p>
    <w:p w14:paraId="78045BD4" w14:textId="090E9011" w:rsidR="0052323F" w:rsidRPr="00FD62DD" w:rsidRDefault="00981750" w:rsidP="00107037">
      <w:pPr>
        <w:spacing w:before="120" w:after="120" w:line="240" w:lineRule="auto"/>
        <w:ind w:firstLineChars="0" w:firstLine="0"/>
        <w:rPr>
          <w:sz w:val="24"/>
          <w:szCs w:val="24"/>
        </w:rPr>
      </w:pPr>
      <w:r w:rsidRPr="00356C80">
        <w:rPr>
          <w:b/>
          <w:bCs/>
          <w:sz w:val="24"/>
          <w:szCs w:val="24"/>
        </w:rPr>
        <w:t>Fig. S14</w:t>
      </w:r>
      <w:r w:rsidRPr="00FD62DD">
        <w:rPr>
          <w:sz w:val="24"/>
          <w:szCs w:val="24"/>
        </w:rPr>
        <w:t xml:space="preserve"> Power change under continuous discharge operation with different external resistors at 35 K temperature difference and the corresponding energy </w:t>
      </w:r>
      <w:r w:rsidRPr="00FD62DD">
        <w:rPr>
          <w:sz w:val="24"/>
          <w:szCs w:val="24"/>
        </w:rPr>
        <w:t>densities: (</w:t>
      </w:r>
      <w:r w:rsidRPr="00B51BBB">
        <w:rPr>
          <w:b/>
          <w:bCs/>
          <w:sz w:val="24"/>
          <w:szCs w:val="24"/>
        </w:rPr>
        <w:t>a, b</w:t>
      </w:r>
      <w:r w:rsidRPr="00FD62DD">
        <w:rPr>
          <w:sz w:val="24"/>
          <w:szCs w:val="24"/>
        </w:rPr>
        <w:t>) HTCC, (</w:t>
      </w:r>
      <w:r w:rsidRPr="00B51BBB">
        <w:rPr>
          <w:b/>
          <w:bCs/>
          <w:sz w:val="24"/>
          <w:szCs w:val="24"/>
        </w:rPr>
        <w:t>c, d</w:t>
      </w:r>
      <w:r w:rsidRPr="00FD62DD">
        <w:rPr>
          <w:sz w:val="24"/>
          <w:szCs w:val="24"/>
        </w:rPr>
        <w:t>) ATCC, (</w:t>
      </w:r>
      <w:r w:rsidRPr="00B51BBB">
        <w:rPr>
          <w:b/>
          <w:bCs/>
          <w:sz w:val="24"/>
          <w:szCs w:val="24"/>
        </w:rPr>
        <w:t>e, f</w:t>
      </w:r>
      <w:r w:rsidRPr="00FD62DD">
        <w:rPr>
          <w:sz w:val="24"/>
          <w:szCs w:val="24"/>
        </w:rPr>
        <w:t>) ZTCC</w:t>
      </w:r>
    </w:p>
    <w:p w14:paraId="5A43D50A" w14:textId="77777777" w:rsidR="0052323F" w:rsidRPr="00FD62DD" w:rsidRDefault="0052323F" w:rsidP="00107037">
      <w:pPr>
        <w:spacing w:before="120" w:after="120" w:line="240" w:lineRule="auto"/>
        <w:ind w:firstLineChars="0" w:firstLine="0"/>
        <w:rPr>
          <w:rFonts w:eastAsiaTheme="minorEastAsia"/>
          <w:b/>
          <w:bCs/>
          <w:sz w:val="24"/>
          <w:szCs w:val="24"/>
        </w:rPr>
      </w:pPr>
    </w:p>
    <w:p w14:paraId="7750D8BD" w14:textId="77777777" w:rsidR="0052323F" w:rsidRPr="00FD62DD" w:rsidRDefault="0052323F" w:rsidP="00107037">
      <w:pPr>
        <w:spacing w:before="120" w:after="120" w:line="240" w:lineRule="auto"/>
        <w:ind w:firstLineChars="0" w:firstLine="0"/>
        <w:rPr>
          <w:rFonts w:eastAsiaTheme="minorEastAsia"/>
          <w:b/>
          <w:bCs/>
          <w:sz w:val="24"/>
          <w:szCs w:val="24"/>
        </w:rPr>
      </w:pPr>
    </w:p>
    <w:p w14:paraId="224866DC" w14:textId="77777777" w:rsidR="0052323F" w:rsidRPr="00B51BBB" w:rsidRDefault="00981750" w:rsidP="00107037">
      <w:pPr>
        <w:widowControl/>
        <w:spacing w:before="120" w:after="120" w:line="240" w:lineRule="auto"/>
        <w:ind w:firstLineChars="0" w:firstLine="0"/>
        <w:jc w:val="center"/>
        <w:rPr>
          <w:rFonts w:eastAsiaTheme="minorEastAsia"/>
          <w:b/>
          <w:bCs/>
        </w:rPr>
      </w:pPr>
      <w:r w:rsidRPr="00B51BBB">
        <w:rPr>
          <w:b/>
          <w:bCs/>
          <w:noProof/>
        </w:rPr>
        <w:lastRenderedPageBreak/>
        <w:drawing>
          <wp:inline distT="0" distB="0" distL="0" distR="0" wp14:anchorId="1C3A0F27" wp14:editId="7A641904">
            <wp:extent cx="4862830" cy="237744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22" cstate="print">
                      <a:extLst>
                        <a:ext uri="{28A0092B-C50C-407E-A947-70E740481C1C}">
                          <a14:useLocalDpi xmlns:a14="http://schemas.microsoft.com/office/drawing/2010/main" val="0"/>
                        </a:ext>
                      </a:extLst>
                    </a:blip>
                    <a:srcRect l="4204"/>
                    <a:stretch>
                      <a:fillRect/>
                    </a:stretch>
                  </pic:blipFill>
                  <pic:spPr>
                    <a:xfrm>
                      <a:off x="0" y="0"/>
                      <a:ext cx="4862830" cy="2377440"/>
                    </a:xfrm>
                    <a:prstGeom prst="rect">
                      <a:avLst/>
                    </a:prstGeom>
                    <a:noFill/>
                    <a:ln>
                      <a:noFill/>
                    </a:ln>
                  </pic:spPr>
                </pic:pic>
              </a:graphicData>
            </a:graphic>
          </wp:inline>
        </w:drawing>
      </w:r>
    </w:p>
    <w:p w14:paraId="4E9EB9B2" w14:textId="154C9E18" w:rsidR="0052323F" w:rsidRPr="00FD62DD" w:rsidRDefault="00981750" w:rsidP="00107037">
      <w:pPr>
        <w:widowControl/>
        <w:spacing w:before="120" w:after="120" w:line="240" w:lineRule="auto"/>
        <w:ind w:firstLineChars="0" w:firstLine="0"/>
        <w:jc w:val="left"/>
        <w:rPr>
          <w:rFonts w:cs="Times New Roman"/>
          <w:kern w:val="0"/>
          <w:sz w:val="24"/>
          <w:szCs w:val="24"/>
          <w:lang w:val="en-SG"/>
        </w:rPr>
      </w:pPr>
      <w:r w:rsidRPr="00B51BBB">
        <w:rPr>
          <w:rFonts w:cs="Times New Roman"/>
          <w:b/>
          <w:bCs/>
          <w:sz w:val="24"/>
          <w:szCs w:val="24"/>
        </w:rPr>
        <w:t>Fig</w:t>
      </w:r>
      <w:r w:rsidRPr="00B51BBB">
        <w:rPr>
          <w:rFonts w:eastAsia="宋体" w:cs="Times New Roman"/>
          <w:b/>
          <w:bCs/>
          <w:sz w:val="24"/>
          <w:szCs w:val="24"/>
        </w:rPr>
        <w:t>.</w:t>
      </w:r>
      <w:r w:rsidRPr="00B51BBB">
        <w:rPr>
          <w:rFonts w:cs="Times New Roman"/>
          <w:b/>
          <w:bCs/>
          <w:sz w:val="24"/>
          <w:szCs w:val="24"/>
        </w:rPr>
        <w:t xml:space="preserve"> S15</w:t>
      </w:r>
      <w:r w:rsidRPr="00FD62DD">
        <w:rPr>
          <w:rFonts w:cs="Times New Roman"/>
          <w:sz w:val="24"/>
          <w:szCs w:val="24"/>
        </w:rPr>
        <w:t xml:space="preserve"> </w:t>
      </w:r>
      <w:r w:rsidRPr="00FD62DD">
        <w:rPr>
          <w:rFonts w:cs="Times New Roman"/>
          <w:kern w:val="0"/>
          <w:sz w:val="24"/>
          <w:szCs w:val="24"/>
          <w:lang w:val="en-SG"/>
        </w:rPr>
        <w:t>Structural characterization of the HVO cathode after the 72-hour test: (</w:t>
      </w:r>
      <w:r w:rsidRPr="00B51BBB">
        <w:rPr>
          <w:rFonts w:cs="Times New Roman"/>
          <w:b/>
          <w:bCs/>
          <w:kern w:val="0"/>
          <w:sz w:val="24"/>
          <w:szCs w:val="24"/>
          <w:lang w:val="en-SG"/>
        </w:rPr>
        <w:t>a</w:t>
      </w:r>
      <w:r w:rsidRPr="00FD62DD">
        <w:rPr>
          <w:rFonts w:cs="Times New Roman"/>
          <w:kern w:val="0"/>
          <w:sz w:val="24"/>
          <w:szCs w:val="24"/>
          <w:lang w:val="en-SG"/>
        </w:rPr>
        <w:t>) XRD patterns and (</w:t>
      </w:r>
      <w:r w:rsidRPr="00B51BBB">
        <w:rPr>
          <w:rFonts w:cs="Times New Roman"/>
          <w:b/>
          <w:bCs/>
          <w:kern w:val="0"/>
          <w:sz w:val="24"/>
          <w:szCs w:val="24"/>
          <w:lang w:val="en-SG"/>
        </w:rPr>
        <w:t>b</w:t>
      </w:r>
      <w:r w:rsidRPr="00FD62DD">
        <w:rPr>
          <w:rFonts w:cs="Times New Roman"/>
          <w:kern w:val="0"/>
          <w:sz w:val="24"/>
          <w:szCs w:val="24"/>
          <w:lang w:val="en-SG"/>
        </w:rPr>
        <w:t>) SEM image</w:t>
      </w:r>
    </w:p>
    <w:p w14:paraId="49881386" w14:textId="77777777" w:rsidR="0052323F" w:rsidRPr="00FD62DD" w:rsidRDefault="00981750" w:rsidP="00107037">
      <w:pPr>
        <w:widowControl/>
        <w:shd w:val="clear" w:color="auto" w:fill="FFFFFF"/>
        <w:spacing w:before="120" w:after="120" w:line="240" w:lineRule="auto"/>
        <w:ind w:firstLine="210"/>
        <w:jc w:val="center"/>
        <w:rPr>
          <w:rFonts w:cs="Times New Roman"/>
          <w:kern w:val="0"/>
          <w:sz w:val="24"/>
          <w:szCs w:val="24"/>
          <w:lang w:val="en-SG"/>
        </w:rPr>
      </w:pPr>
      <w:r w:rsidRPr="00FD62DD">
        <w:rPr>
          <w:noProof/>
        </w:rPr>
        <w:drawing>
          <wp:inline distT="0" distB="0" distL="0" distR="0" wp14:anchorId="6D20A417" wp14:editId="1843E717">
            <wp:extent cx="3037205" cy="233870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037205" cy="2338705"/>
                    </a:xfrm>
                    <a:prstGeom prst="rect">
                      <a:avLst/>
                    </a:prstGeom>
                    <a:noFill/>
                    <a:ln>
                      <a:noFill/>
                    </a:ln>
                  </pic:spPr>
                </pic:pic>
              </a:graphicData>
            </a:graphic>
          </wp:inline>
        </w:drawing>
      </w:r>
    </w:p>
    <w:p w14:paraId="36C51273" w14:textId="0840EC64" w:rsidR="0052323F" w:rsidRPr="00FD62DD" w:rsidRDefault="00981750" w:rsidP="00B51BBB">
      <w:pPr>
        <w:widowControl/>
        <w:spacing w:before="120" w:after="120" w:line="240" w:lineRule="auto"/>
        <w:ind w:firstLineChars="41" w:firstLine="99"/>
        <w:jc w:val="left"/>
        <w:rPr>
          <w:rFonts w:cs="Times New Roman"/>
          <w:kern w:val="0"/>
          <w:sz w:val="24"/>
          <w:szCs w:val="24"/>
          <w:lang w:val="en-SG"/>
        </w:rPr>
      </w:pPr>
      <w:r w:rsidRPr="00B51BBB">
        <w:rPr>
          <w:rFonts w:cs="Times New Roman"/>
          <w:b/>
          <w:bCs/>
          <w:sz w:val="24"/>
          <w:szCs w:val="24"/>
        </w:rPr>
        <w:t>Fig</w:t>
      </w:r>
      <w:r w:rsidRPr="00B51BBB">
        <w:rPr>
          <w:rFonts w:eastAsia="宋体" w:cs="Times New Roman"/>
          <w:b/>
          <w:bCs/>
          <w:sz w:val="24"/>
          <w:szCs w:val="24"/>
        </w:rPr>
        <w:t>.</w:t>
      </w:r>
      <w:r w:rsidRPr="00B51BBB">
        <w:rPr>
          <w:rFonts w:cs="Times New Roman"/>
          <w:b/>
          <w:bCs/>
          <w:sz w:val="24"/>
          <w:szCs w:val="24"/>
        </w:rPr>
        <w:t xml:space="preserve"> S</w:t>
      </w:r>
      <w:r w:rsidRPr="00B51BBB">
        <w:rPr>
          <w:rFonts w:cs="Times New Roman"/>
          <w:b/>
          <w:bCs/>
          <w:kern w:val="0"/>
          <w:sz w:val="24"/>
          <w:szCs w:val="24"/>
          <w:lang w:val="en-SG"/>
        </w:rPr>
        <w:t>16</w:t>
      </w:r>
      <w:r w:rsidRPr="00FD62DD">
        <w:rPr>
          <w:rFonts w:cs="Times New Roman"/>
          <w:kern w:val="0"/>
          <w:sz w:val="24"/>
          <w:szCs w:val="24"/>
          <w:lang w:val="en-SG"/>
        </w:rPr>
        <w:t xml:space="preserve"> Capacity test after prolonged operation</w:t>
      </w:r>
    </w:p>
    <w:p w14:paraId="352087D8" w14:textId="77777777" w:rsidR="00A04283" w:rsidRDefault="00A04283" w:rsidP="00107037">
      <w:pPr>
        <w:pStyle w:val="ds-markdown-paragraph"/>
        <w:shd w:val="clear" w:color="auto" w:fill="FFFFFF"/>
        <w:spacing w:before="120" w:beforeAutospacing="0" w:after="120" w:afterAutospacing="0"/>
        <w:jc w:val="both"/>
        <w:rPr>
          <w:rFonts w:ascii="Times New Roman" w:eastAsia="Times New Roman" w:hAnsi="Times New Roman" w:cs="Times New Roman"/>
          <w:lang w:val="en-SG"/>
        </w:rPr>
      </w:pPr>
    </w:p>
    <w:p w14:paraId="41618C0F" w14:textId="0547F8CD" w:rsidR="0052323F" w:rsidRPr="00FD62DD" w:rsidRDefault="00981750" w:rsidP="00107037">
      <w:pPr>
        <w:pStyle w:val="ds-markdown-paragraph"/>
        <w:shd w:val="clear" w:color="auto" w:fill="FFFFFF"/>
        <w:spacing w:before="120" w:beforeAutospacing="0" w:after="120" w:afterAutospacing="0"/>
        <w:jc w:val="both"/>
        <w:rPr>
          <w:rFonts w:ascii="Times New Roman" w:eastAsiaTheme="minorEastAsia" w:hAnsi="Times New Roman" w:cs="Times New Roman"/>
          <w:lang w:val="en-SG"/>
        </w:rPr>
      </w:pPr>
      <w:r w:rsidRPr="00FD62DD">
        <w:rPr>
          <w:rFonts w:ascii="Times New Roman" w:eastAsia="Times New Roman" w:hAnsi="Times New Roman" w:cs="Times New Roman"/>
          <w:lang w:val="en-SG"/>
        </w:rPr>
        <w:t xml:space="preserve">Regarding the cathode structural evolution, XRD characterization of the HVO cathode tested for 72 hours confirms the well-maintained layered crystal structure without detectable phase transformation </w:t>
      </w:r>
      <w:bookmarkStart w:id="11" w:name="OLE_LINK18"/>
      <w:r w:rsidRPr="00FD62DD">
        <w:rPr>
          <w:rFonts w:ascii="Times New Roman" w:eastAsia="Times New Roman" w:hAnsi="Times New Roman" w:cs="Times New Roman"/>
          <w:lang w:val="en-SG"/>
        </w:rPr>
        <w:t>(</w:t>
      </w:r>
      <w:r w:rsidRPr="00FD62DD">
        <w:rPr>
          <w:rFonts w:ascii="Times New Roman" w:hAnsi="Times New Roman" w:cs="Times New Roman"/>
        </w:rPr>
        <w:t xml:space="preserve">Fig. </w:t>
      </w:r>
      <w:r w:rsidRPr="00FD62DD">
        <w:rPr>
          <w:rFonts w:cs="Times New Roman"/>
        </w:rPr>
        <w:t>S15</w:t>
      </w:r>
      <w:r w:rsidRPr="00FD62DD">
        <w:rPr>
          <w:rFonts w:ascii="Times New Roman" w:hAnsi="Times New Roman" w:cs="Times New Roman"/>
        </w:rPr>
        <w:t>a</w:t>
      </w:r>
      <w:r w:rsidRPr="00FD62DD">
        <w:rPr>
          <w:rFonts w:ascii="Times New Roman" w:eastAsia="Times New Roman" w:hAnsi="Times New Roman" w:cs="Times New Roman"/>
          <w:lang w:val="en-SG"/>
        </w:rPr>
        <w:t>)</w:t>
      </w:r>
      <w:bookmarkEnd w:id="11"/>
      <w:r w:rsidRPr="00FD62DD">
        <w:rPr>
          <w:rFonts w:ascii="Times New Roman" w:eastAsia="Times New Roman" w:hAnsi="Times New Roman" w:cs="Times New Roman"/>
          <w:lang w:val="en-SG"/>
        </w:rPr>
        <w:t>. SEM examination further reveals complete pre</w:t>
      </w:r>
      <w:r w:rsidRPr="00FD62DD">
        <w:rPr>
          <w:rFonts w:ascii="Times New Roman" w:eastAsia="Times New Roman" w:hAnsi="Times New Roman" w:cs="Times New Roman"/>
          <w:lang w:val="en-SG"/>
        </w:rPr>
        <w:t>servation of the original nanoflower morphology (</w:t>
      </w:r>
      <w:r w:rsidRPr="00FD62DD">
        <w:rPr>
          <w:rFonts w:ascii="Times New Roman" w:hAnsi="Times New Roman" w:cs="Times New Roman"/>
        </w:rPr>
        <w:t xml:space="preserve">Fig. </w:t>
      </w:r>
      <w:r w:rsidRPr="00FD62DD">
        <w:rPr>
          <w:rFonts w:cs="Times New Roman"/>
        </w:rPr>
        <w:t>S15</w:t>
      </w:r>
      <w:r w:rsidRPr="00FD62DD">
        <w:rPr>
          <w:rFonts w:ascii="Times New Roman" w:hAnsi="Times New Roman" w:cs="Times New Roman"/>
        </w:rPr>
        <w:t>b</w:t>
      </w:r>
      <w:r w:rsidRPr="00FD62DD">
        <w:rPr>
          <w:rFonts w:ascii="Times New Roman" w:eastAsia="Times New Roman" w:hAnsi="Times New Roman" w:cs="Times New Roman"/>
          <w:lang w:val="en-SG"/>
        </w:rPr>
        <w:t>). These results collectively demonstrate the remarkable structural stability and outstanding reversibility of the Zn²⁺/NH₄⁺ co-insertion/extraction process.</w:t>
      </w:r>
    </w:p>
    <w:p w14:paraId="564703D3" w14:textId="77777777" w:rsidR="0052323F" w:rsidRPr="00FD62DD" w:rsidRDefault="00981750" w:rsidP="00107037">
      <w:pPr>
        <w:widowControl/>
        <w:shd w:val="clear" w:color="auto" w:fill="FFFFFF"/>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 xml:space="preserve">As shown in the </w:t>
      </w:r>
      <w:r w:rsidRPr="00FD62DD">
        <w:rPr>
          <w:rFonts w:cs="Times New Roman"/>
          <w:sz w:val="24"/>
          <w:szCs w:val="24"/>
        </w:rPr>
        <w:t>Fig</w:t>
      </w:r>
      <w:r w:rsidRPr="00FD62DD">
        <w:rPr>
          <w:rFonts w:eastAsia="宋体" w:cs="Times New Roman"/>
          <w:sz w:val="24"/>
          <w:szCs w:val="24"/>
        </w:rPr>
        <w:t>.</w:t>
      </w:r>
      <w:r w:rsidRPr="00FD62DD">
        <w:rPr>
          <w:rFonts w:cs="Times New Roman"/>
          <w:sz w:val="24"/>
          <w:szCs w:val="24"/>
        </w:rPr>
        <w:t xml:space="preserve"> S16,</w:t>
      </w:r>
      <w:r w:rsidRPr="00FD62DD">
        <w:rPr>
          <w:rFonts w:cs="Times New Roman"/>
          <w:kern w:val="0"/>
          <w:sz w:val="24"/>
          <w:szCs w:val="24"/>
          <w:lang w:val="en-SG"/>
        </w:rPr>
        <w:t xml:space="preserve"> we conducted s</w:t>
      </w:r>
      <w:r w:rsidRPr="00FD62DD">
        <w:rPr>
          <w:rFonts w:cs="Times New Roman"/>
          <w:kern w:val="0"/>
          <w:sz w:val="24"/>
          <w:szCs w:val="24"/>
          <w:lang w:val="en-SG"/>
        </w:rPr>
        <w:t>ystematic charge-discharge tests on the device after 72 hours of continuous operation. The results demonstrate that the device maintains its capacity without significant decay after prolonged operation, showing excellent capacity retention. This finding, c</w:t>
      </w:r>
      <w:r w:rsidRPr="00FD62DD">
        <w:rPr>
          <w:rFonts w:cs="Times New Roman"/>
          <w:kern w:val="0"/>
          <w:sz w:val="24"/>
          <w:szCs w:val="24"/>
          <w:lang w:val="en-SG"/>
        </w:rPr>
        <w:t>onsistent with the well-preserved cathode structure, collectively confirms the outstanding long-term operational stability of our thermal charging cell.</w:t>
      </w:r>
    </w:p>
    <w:p w14:paraId="12023DF5" w14:textId="77777777" w:rsidR="0052323F" w:rsidRPr="00FD62DD" w:rsidRDefault="00981750" w:rsidP="00107037">
      <w:pPr>
        <w:widowControl/>
        <w:spacing w:before="120" w:after="120" w:line="240" w:lineRule="auto"/>
        <w:ind w:firstLineChars="0" w:firstLine="0"/>
        <w:jc w:val="center"/>
        <w:rPr>
          <w:rFonts w:eastAsiaTheme="minorEastAsia"/>
          <w:b/>
          <w:bCs/>
        </w:rPr>
      </w:pPr>
      <w:r w:rsidRPr="00FD62DD">
        <w:rPr>
          <w:noProof/>
        </w:rPr>
        <w:lastRenderedPageBreak/>
        <w:drawing>
          <wp:inline distT="0" distB="0" distL="0" distR="0" wp14:anchorId="00052404" wp14:editId="60436BF1">
            <wp:extent cx="5791200" cy="19126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4" cstate="print">
                      <a:extLst>
                        <a:ext uri="{28A0092B-C50C-407E-A947-70E740481C1C}">
                          <a14:useLocalDpi xmlns:a14="http://schemas.microsoft.com/office/drawing/2010/main" val="0"/>
                        </a:ext>
                      </a:extLst>
                    </a:blip>
                    <a:srcRect l="3756" t="3736" b="1437"/>
                    <a:stretch>
                      <a:fillRect/>
                    </a:stretch>
                  </pic:blipFill>
                  <pic:spPr>
                    <a:xfrm>
                      <a:off x="0" y="0"/>
                      <a:ext cx="5796239" cy="1914195"/>
                    </a:xfrm>
                    <a:prstGeom prst="rect">
                      <a:avLst/>
                    </a:prstGeom>
                    <a:noFill/>
                    <a:ln>
                      <a:noFill/>
                    </a:ln>
                  </pic:spPr>
                </pic:pic>
              </a:graphicData>
            </a:graphic>
          </wp:inline>
        </w:drawing>
      </w:r>
    </w:p>
    <w:p w14:paraId="22234A21" w14:textId="0AA49C4E" w:rsidR="0052323F" w:rsidRPr="00FD62DD" w:rsidRDefault="00981750" w:rsidP="006267D3">
      <w:pPr>
        <w:widowControl/>
        <w:spacing w:before="120" w:after="120" w:line="240" w:lineRule="auto"/>
        <w:ind w:firstLineChars="0" w:firstLine="0"/>
        <w:jc w:val="left"/>
        <w:rPr>
          <w:rFonts w:cs="Times New Roman"/>
          <w:sz w:val="24"/>
          <w:szCs w:val="24"/>
        </w:rPr>
      </w:pPr>
      <w:r w:rsidRPr="006267D3">
        <w:rPr>
          <w:rFonts w:cs="Times New Roman"/>
          <w:b/>
          <w:bCs/>
          <w:sz w:val="24"/>
          <w:szCs w:val="24"/>
        </w:rPr>
        <w:t>Fig. S17</w:t>
      </w:r>
      <w:r w:rsidRPr="00FD62DD">
        <w:rPr>
          <w:rFonts w:cs="Times New Roman"/>
          <w:sz w:val="24"/>
          <w:szCs w:val="24"/>
        </w:rPr>
        <w:t xml:space="preserve"> Characterization of the Zn anode after prolonged operation: (</w:t>
      </w:r>
      <w:r w:rsidRPr="006267D3">
        <w:rPr>
          <w:rFonts w:cs="Times New Roman"/>
          <w:b/>
          <w:bCs/>
          <w:sz w:val="24"/>
          <w:szCs w:val="24"/>
        </w:rPr>
        <w:t>a</w:t>
      </w:r>
      <w:r w:rsidRPr="00FD62DD">
        <w:rPr>
          <w:rFonts w:cs="Times New Roman"/>
          <w:sz w:val="24"/>
          <w:szCs w:val="24"/>
        </w:rPr>
        <w:t xml:space="preserve">) XRD </w:t>
      </w:r>
      <w:r w:rsidRPr="00FD62DD">
        <w:rPr>
          <w:rFonts w:cs="Times New Roman"/>
          <w:sz w:val="24"/>
          <w:szCs w:val="24"/>
        </w:rPr>
        <w:t>patterns and (</w:t>
      </w:r>
      <w:r w:rsidRPr="006267D3">
        <w:rPr>
          <w:rFonts w:cs="Times New Roman"/>
          <w:b/>
          <w:bCs/>
          <w:sz w:val="24"/>
          <w:szCs w:val="24"/>
        </w:rPr>
        <w:t>b</w:t>
      </w:r>
      <w:r w:rsidRPr="00FD62DD">
        <w:rPr>
          <w:rFonts w:cs="Times New Roman"/>
          <w:sz w:val="24"/>
          <w:szCs w:val="24"/>
        </w:rPr>
        <w:t>) SEM images</w:t>
      </w:r>
    </w:p>
    <w:p w14:paraId="12BEFFEA" w14:textId="77777777" w:rsidR="00A04283" w:rsidRDefault="00A04283" w:rsidP="006267D3">
      <w:pPr>
        <w:widowControl/>
        <w:shd w:val="clear" w:color="auto" w:fill="FFFFFF"/>
        <w:spacing w:before="120" w:after="120" w:line="240" w:lineRule="auto"/>
        <w:ind w:firstLineChars="0" w:firstLine="0"/>
        <w:rPr>
          <w:rFonts w:cs="Times New Roman"/>
          <w:kern w:val="0"/>
          <w:sz w:val="24"/>
          <w:szCs w:val="24"/>
          <w:lang w:val="en-SG"/>
        </w:rPr>
      </w:pPr>
    </w:p>
    <w:p w14:paraId="317D3DC0" w14:textId="28279D01" w:rsidR="006267D3" w:rsidRDefault="00981750" w:rsidP="006267D3">
      <w:pPr>
        <w:widowControl/>
        <w:shd w:val="clear" w:color="auto" w:fill="FFFFFF"/>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 xml:space="preserve">We performed post-cycling characterization of the </w:t>
      </w:r>
      <w:bookmarkStart w:id="12" w:name="OLE_LINK33"/>
      <w:r w:rsidRPr="00FD62DD">
        <w:rPr>
          <w:rFonts w:cs="Times New Roman"/>
          <w:kern w:val="0"/>
          <w:sz w:val="24"/>
          <w:szCs w:val="24"/>
          <w:lang w:val="en-SG"/>
        </w:rPr>
        <w:t xml:space="preserve">Zn anode </w:t>
      </w:r>
      <w:bookmarkEnd w:id="12"/>
      <w:r w:rsidRPr="00FD62DD">
        <w:rPr>
          <w:rFonts w:cs="Times New Roman"/>
          <w:kern w:val="0"/>
          <w:sz w:val="24"/>
          <w:szCs w:val="24"/>
          <w:lang w:val="en-SG"/>
        </w:rPr>
        <w:t>after prolonged operation in the hybrid electrolyte. XRD analysis reveals the presence of minor Zn</w:t>
      </w:r>
      <w:r w:rsidRPr="00FD62DD">
        <w:rPr>
          <w:rFonts w:cs="Times New Roman"/>
          <w:kern w:val="0"/>
          <w:sz w:val="24"/>
          <w:szCs w:val="24"/>
          <w:vertAlign w:val="subscript"/>
          <w:lang w:val="en-SG"/>
        </w:rPr>
        <w:t>5</w:t>
      </w:r>
      <w:r w:rsidRPr="00FD62DD">
        <w:rPr>
          <w:rFonts w:cs="Times New Roman"/>
          <w:kern w:val="0"/>
          <w:sz w:val="24"/>
          <w:szCs w:val="24"/>
          <w:lang w:val="en-SG"/>
        </w:rPr>
        <w:t>(OH)</w:t>
      </w:r>
      <w:r w:rsidRPr="00FD62DD">
        <w:rPr>
          <w:rFonts w:cs="Times New Roman"/>
          <w:kern w:val="0"/>
          <w:sz w:val="24"/>
          <w:szCs w:val="24"/>
          <w:vertAlign w:val="subscript"/>
          <w:lang w:val="en-SG"/>
        </w:rPr>
        <w:t>8</w:t>
      </w:r>
      <w:r w:rsidRPr="00FD62DD">
        <w:rPr>
          <w:rFonts w:cs="Times New Roman"/>
          <w:kern w:val="0"/>
          <w:sz w:val="24"/>
          <w:szCs w:val="24"/>
          <w:lang w:val="en-SG"/>
        </w:rPr>
        <w:t>(NO</w:t>
      </w:r>
      <w:r w:rsidRPr="00FD62DD">
        <w:rPr>
          <w:rFonts w:cs="Times New Roman"/>
          <w:kern w:val="0"/>
          <w:sz w:val="24"/>
          <w:szCs w:val="24"/>
          <w:vertAlign w:val="subscript"/>
          <w:lang w:val="en-SG"/>
        </w:rPr>
        <w:t>3</w:t>
      </w:r>
      <w:r w:rsidRPr="00FD62DD">
        <w:rPr>
          <w:rFonts w:cs="Times New Roman"/>
          <w:kern w:val="0"/>
          <w:sz w:val="24"/>
          <w:szCs w:val="24"/>
          <w:lang w:val="en-SG"/>
        </w:rPr>
        <w:t>)</w:t>
      </w:r>
      <w:r w:rsidRPr="00FD62DD">
        <w:rPr>
          <w:rFonts w:cs="Times New Roman"/>
          <w:kern w:val="0"/>
          <w:sz w:val="24"/>
          <w:szCs w:val="24"/>
          <w:vertAlign w:val="subscript"/>
          <w:lang w:val="en-SG"/>
        </w:rPr>
        <w:t>2</w:t>
      </w:r>
      <w:r w:rsidRPr="00FD62DD">
        <w:rPr>
          <w:rFonts w:cs="Times New Roman"/>
          <w:kern w:val="0"/>
          <w:sz w:val="24"/>
          <w:szCs w:val="24"/>
          <w:lang w:val="en-SG"/>
        </w:rPr>
        <w:t>·2NH</w:t>
      </w:r>
      <w:r w:rsidRPr="00FD62DD">
        <w:rPr>
          <w:rFonts w:cs="Times New Roman"/>
          <w:kern w:val="0"/>
          <w:sz w:val="24"/>
          <w:szCs w:val="24"/>
          <w:vertAlign w:val="subscript"/>
          <w:lang w:val="en-SG"/>
        </w:rPr>
        <w:t>3</w:t>
      </w:r>
      <w:r w:rsidRPr="00FD62DD">
        <w:rPr>
          <w:rFonts w:cs="Times New Roman"/>
          <w:kern w:val="0"/>
          <w:sz w:val="24"/>
          <w:szCs w:val="24"/>
          <w:lang w:val="en-SG"/>
        </w:rPr>
        <w:t xml:space="preserve"> byproducts, though their intensity remains relative</w:t>
      </w:r>
      <w:r w:rsidRPr="00FD62DD">
        <w:rPr>
          <w:rFonts w:cs="Times New Roman"/>
          <w:kern w:val="0"/>
          <w:sz w:val="24"/>
          <w:szCs w:val="24"/>
          <w:lang w:val="en-SG"/>
        </w:rPr>
        <w:t xml:space="preserve">ly weak, indicating limited formation (Fig. </w:t>
      </w:r>
      <w:r w:rsidRPr="00FD62DD">
        <w:rPr>
          <w:rFonts w:cs="Times New Roman"/>
          <w:sz w:val="24"/>
          <w:szCs w:val="24"/>
        </w:rPr>
        <w:t>S17</w:t>
      </w:r>
      <w:r w:rsidRPr="00FD62DD">
        <w:rPr>
          <w:rFonts w:cs="Times New Roman"/>
          <w:kern w:val="0"/>
          <w:sz w:val="24"/>
          <w:szCs w:val="24"/>
          <w:lang w:val="en-SG"/>
        </w:rPr>
        <w:t xml:space="preserve">a). Corresponding SEM observations revealed slight zinc dendrite formation on the Zn anode surface, but the overall morphology of the electrode remained largely intact, with no severe corrosion observed (Fig. </w:t>
      </w:r>
      <w:r w:rsidRPr="00FD62DD">
        <w:rPr>
          <w:rFonts w:cs="Times New Roman"/>
          <w:sz w:val="24"/>
          <w:szCs w:val="24"/>
        </w:rPr>
        <w:t>S17</w:t>
      </w:r>
      <w:r w:rsidRPr="00FD62DD">
        <w:rPr>
          <w:rFonts w:cs="Times New Roman"/>
          <w:kern w:val="0"/>
          <w:sz w:val="24"/>
          <w:szCs w:val="24"/>
          <w:lang w:val="en-SG"/>
        </w:rPr>
        <w:t>b-c). These results suggest that while some side reactions occur at the Zn electrode, their extent is not sufficient to cause significant performance degradation.</w:t>
      </w:r>
      <w:r w:rsidR="006267D3">
        <w:rPr>
          <w:rFonts w:cs="Times New Roman"/>
          <w:kern w:val="0"/>
          <w:sz w:val="24"/>
          <w:szCs w:val="24"/>
          <w:lang w:val="en-SG"/>
        </w:rPr>
        <w:t xml:space="preserve"> </w:t>
      </w:r>
    </w:p>
    <w:p w14:paraId="240C2B17" w14:textId="55156980" w:rsidR="0052323F" w:rsidRPr="00FD62DD" w:rsidRDefault="00981750" w:rsidP="006267D3">
      <w:pPr>
        <w:widowControl/>
        <w:shd w:val="clear" w:color="auto" w:fill="FFFFFF"/>
        <w:spacing w:before="120" w:after="120" w:line="240" w:lineRule="auto"/>
        <w:ind w:firstLineChars="0" w:firstLine="0"/>
        <w:jc w:val="center"/>
        <w:rPr>
          <w:rFonts w:cs="Times New Roman"/>
          <w:b/>
          <w:bCs/>
          <w:kern w:val="0"/>
          <w:sz w:val="24"/>
          <w:szCs w:val="24"/>
          <w:lang w:val="en-SG"/>
        </w:rPr>
      </w:pPr>
      <w:r w:rsidRPr="00FD62DD">
        <w:rPr>
          <w:noProof/>
          <w:sz w:val="24"/>
          <w:szCs w:val="24"/>
        </w:rPr>
        <w:drawing>
          <wp:inline distT="0" distB="0" distL="0" distR="0" wp14:anchorId="1590E920" wp14:editId="7603A7C4">
            <wp:extent cx="2806700" cy="2163559"/>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2819438" cy="2173379"/>
                    </a:xfrm>
                    <a:prstGeom prst="rect">
                      <a:avLst/>
                    </a:prstGeom>
                    <a:noFill/>
                    <a:ln>
                      <a:noFill/>
                    </a:ln>
                  </pic:spPr>
                </pic:pic>
              </a:graphicData>
            </a:graphic>
          </wp:inline>
        </w:drawing>
      </w:r>
    </w:p>
    <w:p w14:paraId="3863FC8C" w14:textId="5E08B2B4" w:rsidR="0052323F" w:rsidRPr="00FD62DD" w:rsidRDefault="00981750" w:rsidP="006267D3">
      <w:pPr>
        <w:widowControl/>
        <w:spacing w:before="120" w:after="120" w:line="240" w:lineRule="auto"/>
        <w:ind w:firstLineChars="0" w:firstLine="0"/>
        <w:jc w:val="left"/>
        <w:rPr>
          <w:rFonts w:cs="Times New Roman"/>
          <w:kern w:val="0"/>
          <w:sz w:val="24"/>
          <w:szCs w:val="24"/>
          <w:lang w:val="en-SG"/>
        </w:rPr>
      </w:pPr>
      <w:bookmarkStart w:id="13" w:name="OLE_LINK35"/>
      <w:r w:rsidRPr="006267D3">
        <w:rPr>
          <w:rFonts w:cs="Times New Roman"/>
          <w:b/>
          <w:bCs/>
          <w:sz w:val="24"/>
          <w:szCs w:val="24"/>
        </w:rPr>
        <w:t>Fig. S18</w:t>
      </w:r>
      <w:r w:rsidRPr="00FD62DD">
        <w:rPr>
          <w:rFonts w:cs="Times New Roman"/>
          <w:kern w:val="0"/>
          <w:sz w:val="24"/>
          <w:szCs w:val="24"/>
          <w:lang w:val="en-SG"/>
        </w:rPr>
        <w:t xml:space="preserve"> Long-term discharge of HTCC at </w:t>
      </w:r>
      <w:bookmarkStart w:id="14" w:name="_Hlk186298242"/>
      <w:r w:rsidRPr="00FD62DD">
        <w:rPr>
          <w:rFonts w:cs="Times New Roman"/>
          <w:kern w:val="0"/>
          <w:sz w:val="24"/>
          <w:szCs w:val="24"/>
          <w:lang w:val="en-SG"/>
        </w:rPr>
        <w:t>35 K temperature difference</w:t>
      </w:r>
      <w:bookmarkEnd w:id="14"/>
    </w:p>
    <w:bookmarkEnd w:id="13"/>
    <w:p w14:paraId="3B8CEB31" w14:textId="77777777" w:rsidR="00A04283" w:rsidRDefault="00A04283" w:rsidP="00107037">
      <w:pPr>
        <w:widowControl/>
        <w:shd w:val="clear" w:color="auto" w:fill="FFFFFF"/>
        <w:spacing w:before="120" w:after="120" w:line="240" w:lineRule="auto"/>
        <w:ind w:firstLineChars="0" w:firstLine="0"/>
        <w:rPr>
          <w:rFonts w:cs="Times New Roman"/>
          <w:kern w:val="0"/>
          <w:sz w:val="24"/>
          <w:szCs w:val="24"/>
          <w:lang w:val="en-SG"/>
        </w:rPr>
      </w:pPr>
    </w:p>
    <w:p w14:paraId="6EDC48B9" w14:textId="3A892CEA" w:rsidR="0052323F" w:rsidRPr="00FD62DD" w:rsidRDefault="00981750" w:rsidP="00107037">
      <w:pPr>
        <w:widowControl/>
        <w:shd w:val="clear" w:color="auto" w:fill="FFFFFF"/>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Fig</w:t>
      </w:r>
      <w:r w:rsidR="006267D3">
        <w:rPr>
          <w:rFonts w:cs="Times New Roman"/>
          <w:kern w:val="0"/>
          <w:sz w:val="24"/>
          <w:szCs w:val="24"/>
          <w:lang w:val="en-SG"/>
        </w:rPr>
        <w:t>ure</w:t>
      </w:r>
      <w:r w:rsidRPr="00FD62DD">
        <w:rPr>
          <w:rFonts w:cs="Times New Roman"/>
          <w:kern w:val="0"/>
          <w:sz w:val="24"/>
          <w:szCs w:val="24"/>
          <w:lang w:val="en-SG"/>
        </w:rPr>
        <w:t xml:space="preserve"> </w:t>
      </w:r>
      <w:r w:rsidRPr="00FD62DD">
        <w:rPr>
          <w:rFonts w:cs="Times New Roman"/>
          <w:sz w:val="24"/>
          <w:szCs w:val="24"/>
        </w:rPr>
        <w:t>S18</w:t>
      </w:r>
      <w:r w:rsidRPr="00FD62DD">
        <w:rPr>
          <w:rFonts w:cs="Times New Roman"/>
          <w:kern w:val="0"/>
          <w:sz w:val="24"/>
          <w:szCs w:val="24"/>
          <w:lang w:val="en-SG"/>
        </w:rPr>
        <w:t xml:space="preserve"> demonstrates the device's operational stability under high-power matched loads. When tested with load resistances of 10 kΩ and 5 kΩ, the HTCC maintains stable operation for over 30 hours, with power levels sustained at approximately 0.92 W m⁻² and 1.2 W m</w:t>
      </w:r>
      <w:r w:rsidRPr="00FD62DD">
        <w:rPr>
          <w:rFonts w:cs="Times New Roman"/>
          <w:kern w:val="0"/>
          <w:sz w:val="24"/>
          <w:szCs w:val="24"/>
          <w:lang w:val="en-SG"/>
        </w:rPr>
        <w:t>⁻², respectively. These results confirm the device's capability for prolonged operation at practically relevant power outputs.</w:t>
      </w:r>
    </w:p>
    <w:p w14:paraId="21877171" w14:textId="77777777" w:rsidR="006267D3" w:rsidRDefault="006267D3" w:rsidP="00107037">
      <w:pPr>
        <w:spacing w:before="120" w:after="120" w:line="240" w:lineRule="auto"/>
        <w:ind w:firstLineChars="0" w:firstLine="0"/>
        <w:jc w:val="center"/>
        <w:rPr>
          <w:rFonts w:eastAsiaTheme="minorEastAsia"/>
          <w:b/>
          <w:bCs/>
        </w:rPr>
      </w:pPr>
    </w:p>
    <w:p w14:paraId="7C53B899" w14:textId="77777777" w:rsidR="006267D3" w:rsidRDefault="006267D3" w:rsidP="00107037">
      <w:pPr>
        <w:spacing w:before="120" w:after="120" w:line="240" w:lineRule="auto"/>
        <w:ind w:firstLineChars="0" w:firstLine="0"/>
        <w:jc w:val="center"/>
        <w:rPr>
          <w:rFonts w:eastAsiaTheme="minorEastAsia"/>
          <w:b/>
          <w:bCs/>
        </w:rPr>
      </w:pPr>
    </w:p>
    <w:p w14:paraId="6E6F7121" w14:textId="6417B3A5" w:rsidR="0052323F" w:rsidRPr="00FD62DD" w:rsidRDefault="00981750" w:rsidP="00107037">
      <w:pPr>
        <w:spacing w:before="120" w:after="120" w:line="240" w:lineRule="auto"/>
        <w:ind w:firstLineChars="0" w:firstLine="0"/>
        <w:jc w:val="center"/>
        <w:rPr>
          <w:rFonts w:eastAsiaTheme="minorEastAsia"/>
          <w:b/>
          <w:bCs/>
        </w:rPr>
      </w:pPr>
      <w:r w:rsidRPr="00FD62DD">
        <w:rPr>
          <w:noProof/>
        </w:rPr>
        <w:drawing>
          <wp:inline distT="0" distB="0" distL="0" distR="0" wp14:anchorId="4E47E621" wp14:editId="2BFF75FD">
            <wp:extent cx="3449667" cy="26670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3451215" cy="2668197"/>
                    </a:xfrm>
                    <a:prstGeom prst="rect">
                      <a:avLst/>
                    </a:prstGeom>
                    <a:noFill/>
                    <a:ln>
                      <a:noFill/>
                    </a:ln>
                  </pic:spPr>
                </pic:pic>
              </a:graphicData>
            </a:graphic>
          </wp:inline>
        </w:drawing>
      </w:r>
    </w:p>
    <w:p w14:paraId="2214B752" w14:textId="04D42B46" w:rsidR="0052323F" w:rsidRDefault="00981750" w:rsidP="006267D3">
      <w:pPr>
        <w:spacing w:before="120" w:after="120" w:line="240" w:lineRule="auto"/>
        <w:ind w:firstLineChars="0" w:firstLine="0"/>
        <w:jc w:val="left"/>
        <w:rPr>
          <w:sz w:val="24"/>
          <w:szCs w:val="24"/>
        </w:rPr>
      </w:pPr>
      <w:r w:rsidRPr="006267D3">
        <w:rPr>
          <w:b/>
          <w:bCs/>
          <w:sz w:val="24"/>
          <w:szCs w:val="24"/>
        </w:rPr>
        <w:t>Fig. S19</w:t>
      </w:r>
      <w:r w:rsidRPr="00FD62DD">
        <w:rPr>
          <w:sz w:val="24"/>
          <w:szCs w:val="24"/>
        </w:rPr>
        <w:t xml:space="preserve"> The ex situ FT-IR patterns of HVO in HTCC</w:t>
      </w:r>
    </w:p>
    <w:p w14:paraId="5A8CD30D" w14:textId="77777777" w:rsidR="006267D3" w:rsidRPr="00FD62DD" w:rsidRDefault="006267D3" w:rsidP="006267D3">
      <w:pPr>
        <w:spacing w:before="120" w:after="120" w:line="240" w:lineRule="auto"/>
        <w:ind w:firstLineChars="0" w:firstLine="0"/>
        <w:jc w:val="left"/>
        <w:rPr>
          <w:rFonts w:eastAsiaTheme="minorEastAsia"/>
          <w:sz w:val="24"/>
          <w:szCs w:val="24"/>
        </w:rPr>
      </w:pPr>
    </w:p>
    <w:p w14:paraId="0FC9920B" w14:textId="77777777" w:rsidR="0052323F" w:rsidRPr="00FD62DD" w:rsidRDefault="00981750" w:rsidP="00107037">
      <w:pPr>
        <w:spacing w:before="120" w:after="120" w:line="240" w:lineRule="auto"/>
        <w:ind w:firstLineChars="0" w:firstLine="0"/>
        <w:jc w:val="center"/>
        <w:rPr>
          <w:rFonts w:eastAsiaTheme="minorEastAsia"/>
          <w:b/>
          <w:bCs/>
          <w:sz w:val="24"/>
          <w:szCs w:val="24"/>
        </w:rPr>
      </w:pPr>
      <w:r w:rsidRPr="00FD62DD">
        <w:rPr>
          <w:noProof/>
          <w:sz w:val="24"/>
          <w:szCs w:val="24"/>
        </w:rPr>
        <w:drawing>
          <wp:inline distT="0" distB="0" distL="0" distR="0" wp14:anchorId="3B8DDA1A" wp14:editId="4678013C">
            <wp:extent cx="3431028" cy="26606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3434014" cy="2662966"/>
                    </a:xfrm>
                    <a:prstGeom prst="rect">
                      <a:avLst/>
                    </a:prstGeom>
                    <a:noFill/>
                    <a:ln>
                      <a:noFill/>
                    </a:ln>
                  </pic:spPr>
                </pic:pic>
              </a:graphicData>
            </a:graphic>
          </wp:inline>
        </w:drawing>
      </w:r>
    </w:p>
    <w:p w14:paraId="49A97AAE" w14:textId="218888FE" w:rsidR="0052323F" w:rsidRPr="00FD62DD" w:rsidRDefault="00981750" w:rsidP="006267D3">
      <w:pPr>
        <w:spacing w:before="120" w:after="120" w:line="240" w:lineRule="auto"/>
        <w:ind w:left="120" w:firstLineChars="0" w:hanging="120"/>
        <w:jc w:val="left"/>
        <w:rPr>
          <w:rFonts w:eastAsiaTheme="minorEastAsia"/>
          <w:b/>
          <w:bCs/>
        </w:rPr>
      </w:pPr>
      <w:r w:rsidRPr="006267D3">
        <w:rPr>
          <w:b/>
          <w:bCs/>
          <w:sz w:val="24"/>
          <w:szCs w:val="24"/>
        </w:rPr>
        <w:t>Fig. S20</w:t>
      </w:r>
      <w:r w:rsidRPr="00FD62DD">
        <w:rPr>
          <w:sz w:val="24"/>
          <w:szCs w:val="24"/>
        </w:rPr>
        <w:t xml:space="preserve"> CV curves of HVO in dilute H</w:t>
      </w:r>
      <w:r w:rsidRPr="00FD62DD">
        <w:rPr>
          <w:sz w:val="24"/>
          <w:szCs w:val="24"/>
          <w:vertAlign w:val="subscript"/>
        </w:rPr>
        <w:t>2</w:t>
      </w:r>
      <w:r w:rsidRPr="00FD62DD">
        <w:rPr>
          <w:sz w:val="24"/>
          <w:szCs w:val="24"/>
        </w:rPr>
        <w:t>SO</w:t>
      </w:r>
      <w:r w:rsidRPr="00FD62DD">
        <w:rPr>
          <w:sz w:val="24"/>
          <w:szCs w:val="24"/>
          <w:vertAlign w:val="subscript"/>
        </w:rPr>
        <w:t>4</w:t>
      </w:r>
      <w:r w:rsidRPr="00FD62DD">
        <w:rPr>
          <w:sz w:val="24"/>
          <w:szCs w:val="24"/>
        </w:rPr>
        <w:t xml:space="preserve"> (pH = 4.17)</w:t>
      </w:r>
      <w:r w:rsidRPr="00FD62DD">
        <w:rPr>
          <w:noProof/>
        </w:rPr>
        <w:lastRenderedPageBreak/>
        <w:drawing>
          <wp:inline distT="0" distB="0" distL="0" distR="0" wp14:anchorId="0B473852" wp14:editId="3F00F8B0">
            <wp:extent cx="5616952" cy="4070350"/>
            <wp:effectExtent l="0" t="0" r="3175"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28" cstate="print">
                      <a:extLst>
                        <a:ext uri="{28A0092B-C50C-407E-A947-70E740481C1C}">
                          <a14:useLocalDpi xmlns:a14="http://schemas.microsoft.com/office/drawing/2010/main" val="0"/>
                        </a:ext>
                      </a:extLst>
                    </a:blip>
                    <a:srcRect t="2381" b="1576"/>
                    <a:stretch>
                      <a:fillRect/>
                    </a:stretch>
                  </pic:blipFill>
                  <pic:spPr>
                    <a:xfrm>
                      <a:off x="0" y="0"/>
                      <a:ext cx="5624404" cy="4075750"/>
                    </a:xfrm>
                    <a:prstGeom prst="rect">
                      <a:avLst/>
                    </a:prstGeom>
                    <a:noFill/>
                    <a:ln>
                      <a:noFill/>
                    </a:ln>
                  </pic:spPr>
                </pic:pic>
              </a:graphicData>
            </a:graphic>
          </wp:inline>
        </w:drawing>
      </w:r>
    </w:p>
    <w:p w14:paraId="3AD423C6" w14:textId="016F5C65" w:rsidR="0052323F" w:rsidRPr="00FD62DD" w:rsidRDefault="00981750" w:rsidP="00107037">
      <w:pPr>
        <w:spacing w:before="120" w:after="120" w:line="240" w:lineRule="auto"/>
        <w:ind w:firstLineChars="0" w:firstLine="0"/>
        <w:rPr>
          <w:sz w:val="24"/>
          <w:szCs w:val="24"/>
        </w:rPr>
      </w:pPr>
      <w:r w:rsidRPr="006267D3">
        <w:rPr>
          <w:b/>
          <w:bCs/>
          <w:sz w:val="24"/>
          <w:szCs w:val="24"/>
        </w:rPr>
        <w:t>Fig. S21</w:t>
      </w:r>
      <w:r w:rsidRPr="00FD62DD">
        <w:rPr>
          <w:sz w:val="24"/>
          <w:szCs w:val="24"/>
        </w:rPr>
        <w:t xml:space="preserve"> GITT curves and ion diffusion coefficient of HVO in different electrolytes</w:t>
      </w:r>
    </w:p>
    <w:p w14:paraId="0EEAF8D8" w14:textId="77777777" w:rsidR="006267D3" w:rsidRDefault="006267D3" w:rsidP="00107037">
      <w:pPr>
        <w:spacing w:before="120" w:after="120" w:line="240" w:lineRule="auto"/>
        <w:ind w:firstLineChars="0" w:firstLine="0"/>
        <w:rPr>
          <w:sz w:val="24"/>
          <w:szCs w:val="24"/>
        </w:rPr>
      </w:pPr>
    </w:p>
    <w:p w14:paraId="776D3C04" w14:textId="28383236" w:rsidR="0052323F" w:rsidRPr="00FD62DD" w:rsidRDefault="00981750" w:rsidP="00107037">
      <w:pPr>
        <w:spacing w:before="120" w:after="120" w:line="240" w:lineRule="auto"/>
        <w:ind w:firstLineChars="0" w:firstLine="0"/>
        <w:rPr>
          <w:sz w:val="24"/>
          <w:szCs w:val="24"/>
        </w:rPr>
      </w:pPr>
      <w:r w:rsidRPr="00FD62DD">
        <w:rPr>
          <w:sz w:val="24"/>
          <w:szCs w:val="24"/>
        </w:rPr>
        <w:t>The value of ionic diffusion coefficients can be calculated by simplified Fick’s second law:</w:t>
      </w:r>
    </w:p>
    <w:p w14:paraId="34A46488" w14:textId="38F0658B" w:rsidR="0052323F" w:rsidRPr="00FD62DD" w:rsidRDefault="00981750" w:rsidP="00A04283">
      <w:pPr>
        <w:spacing w:before="120" w:after="120" w:line="240" w:lineRule="auto"/>
        <w:ind w:firstLineChars="0" w:firstLine="0"/>
        <w:jc w:val="right"/>
        <w:rPr>
          <w:rFonts w:eastAsiaTheme="minorEastAsia"/>
          <w:bCs/>
          <w:sz w:val="24"/>
          <w:szCs w:val="24"/>
        </w:rPr>
      </w:pPr>
      <m:oMath>
        <m:r>
          <w:rPr>
            <w:rFonts w:ascii="Cambria Math" w:hAnsi="Cambria Math"/>
            <w:sz w:val="24"/>
            <w:szCs w:val="24"/>
          </w:rPr>
          <m:t>D</m:t>
        </m:r>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4</m:t>
            </m:r>
          </m:num>
          <m:den>
            <m:r>
              <w:rPr>
                <w:rFonts w:ascii="Cambria Math" w:hAnsi="Cambria Math"/>
                <w:sz w:val="24"/>
                <w:szCs w:val="24"/>
              </w:rPr>
              <m:t>πτ</m:t>
            </m:r>
          </m:den>
        </m:f>
        <m:sSup>
          <m:sSupPr>
            <m:ctrlPr>
              <w:rPr>
                <w:rFonts w:ascii="Cambria Math" w:hAnsi="Cambria Math"/>
                <w:bCs/>
                <w:i/>
                <w:sz w:val="24"/>
                <w:szCs w:val="24"/>
              </w:rPr>
            </m:ctrlPr>
          </m:sSupPr>
          <m:e>
            <m:d>
              <m:dPr>
                <m:ctrlPr>
                  <w:rPr>
                    <w:rFonts w:ascii="Cambria Math" w:hAnsi="Cambria Math"/>
                    <w:bCs/>
                    <w:i/>
                    <w:sz w:val="24"/>
                    <w:szCs w:val="24"/>
                  </w:rPr>
                </m:ctrlPr>
              </m:dPr>
              <m:e>
                <m:f>
                  <m:fPr>
                    <m:ctrlPr>
                      <w:rPr>
                        <w:rFonts w:ascii="Cambria Math" w:hAnsi="Cambria Math"/>
                        <w:bCs/>
                        <w:i/>
                        <w:sz w:val="24"/>
                        <w:szCs w:val="24"/>
                      </w:rPr>
                    </m:ctrlPr>
                  </m:fPr>
                  <m:num>
                    <m:sSub>
                      <m:sSubPr>
                        <m:ctrlPr>
                          <w:rPr>
                            <w:rFonts w:ascii="Cambria Math" w:hAnsi="Cambria Math"/>
                            <w:bCs/>
                            <w:i/>
                            <w:sz w:val="24"/>
                            <w:szCs w:val="24"/>
                          </w:rPr>
                        </m:ctrlPr>
                      </m:sSubPr>
                      <m:e>
                        <m:r>
                          <w:rPr>
                            <w:rFonts w:ascii="Cambria Math" w:hAnsi="Cambria Math"/>
                            <w:sz w:val="24"/>
                            <w:szCs w:val="24"/>
                          </w:rPr>
                          <m:t>m</m:t>
                        </m:r>
                      </m:e>
                      <m:sub>
                        <m:r>
                          <w:rPr>
                            <w:rFonts w:ascii="Cambria Math" w:hAnsi="Cambria Math"/>
                            <w:sz w:val="24"/>
                            <w:szCs w:val="24"/>
                          </w:rPr>
                          <m:t>b</m:t>
                        </m:r>
                      </m:sub>
                    </m:sSub>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m</m:t>
                        </m:r>
                      </m:sub>
                    </m:sSub>
                  </m:num>
                  <m:den>
                    <m:sSub>
                      <m:sSubPr>
                        <m:ctrlPr>
                          <w:rPr>
                            <w:rFonts w:ascii="Cambria Math" w:hAnsi="Cambria Math"/>
                            <w:bCs/>
                            <w:i/>
                            <w:sz w:val="24"/>
                            <w:szCs w:val="24"/>
                          </w:rPr>
                        </m:ctrlPr>
                      </m:sSubPr>
                      <m:e>
                        <m:r>
                          <w:rPr>
                            <w:rFonts w:ascii="Cambria Math" w:hAnsi="Cambria Math"/>
                            <w:sz w:val="24"/>
                            <w:szCs w:val="24"/>
                          </w:rPr>
                          <m:t>M</m:t>
                        </m:r>
                      </m:e>
                      <m:sub>
                        <m:r>
                          <w:rPr>
                            <w:rFonts w:ascii="Cambria Math" w:hAnsi="Cambria Math"/>
                            <w:sz w:val="24"/>
                            <w:szCs w:val="24"/>
                          </w:rPr>
                          <m:t>b</m:t>
                        </m:r>
                      </m:sub>
                    </m:sSub>
                    <m:r>
                      <w:rPr>
                        <w:rFonts w:ascii="Cambria Math" w:hAnsi="Cambria Math"/>
                        <w:sz w:val="24"/>
                        <w:szCs w:val="24"/>
                      </w:rPr>
                      <m:t>S</m:t>
                    </m:r>
                  </m:den>
                </m:f>
              </m:e>
            </m:d>
          </m:e>
          <m:sup>
            <m:r>
              <w:rPr>
                <w:rFonts w:ascii="Cambria Math" w:hAnsi="Cambria Math"/>
                <w:sz w:val="24"/>
                <w:szCs w:val="24"/>
              </w:rPr>
              <m:t>2</m:t>
            </m:r>
          </m:sup>
        </m:sSup>
        <m:sSup>
          <m:sSupPr>
            <m:ctrlPr>
              <w:rPr>
                <w:rFonts w:ascii="Cambria Math" w:hAnsi="Cambria Math"/>
                <w:bCs/>
                <w:i/>
                <w:sz w:val="24"/>
                <w:szCs w:val="24"/>
              </w:rPr>
            </m:ctrlPr>
          </m:sSupPr>
          <m:e>
            <m:d>
              <m:dPr>
                <m:ctrlPr>
                  <w:rPr>
                    <w:rFonts w:ascii="Cambria Math" w:hAnsi="Cambria Math"/>
                    <w:bCs/>
                    <w:i/>
                    <w:sz w:val="24"/>
                    <w:szCs w:val="24"/>
                  </w:rPr>
                </m:ctrlPr>
              </m:dPr>
              <m:e>
                <m:f>
                  <m:fPr>
                    <m:ctrlPr>
                      <w:rPr>
                        <w:rFonts w:ascii="Cambria Math" w:hAnsi="Cambria Math"/>
                        <w:bCs/>
                        <w:i/>
                        <w:sz w:val="24"/>
                        <w:szCs w:val="24"/>
                      </w:rPr>
                    </m:ctrlPr>
                  </m:fPr>
                  <m:num>
                    <m:sSub>
                      <m:sSubPr>
                        <m:ctrlPr>
                          <w:rPr>
                            <w:rFonts w:ascii="Cambria Math" w:hAnsi="Cambria Math"/>
                            <w:bCs/>
                            <w:i/>
                            <w:sz w:val="24"/>
                            <w:szCs w:val="24"/>
                          </w:rPr>
                        </m:ctrlPr>
                      </m:sSubPr>
                      <m:e>
                        <m:r>
                          <w:rPr>
                            <w:rFonts w:ascii="Cambria Math" w:hAnsi="Cambria Math"/>
                            <w:sz w:val="24"/>
                            <w:szCs w:val="24"/>
                          </w:rPr>
                          <m:t>∆</m:t>
                        </m:r>
                        <m:r>
                          <w:rPr>
                            <w:rFonts w:ascii="Cambria Math" w:hAnsi="Cambria Math"/>
                            <w:sz w:val="24"/>
                            <w:szCs w:val="24"/>
                          </w:rPr>
                          <m:t>E</m:t>
                        </m:r>
                      </m:e>
                      <m:sub>
                        <m:r>
                          <w:rPr>
                            <w:rFonts w:ascii="Cambria Math" w:hAnsi="Cambria Math"/>
                            <w:sz w:val="24"/>
                            <w:szCs w:val="24"/>
                          </w:rPr>
                          <m:t>s</m:t>
                        </m:r>
                      </m:sub>
                    </m:sSub>
                  </m:num>
                  <m:den>
                    <m:r>
                      <w:rPr>
                        <w:rFonts w:ascii="Cambria Math" w:hAnsi="Cambria Math"/>
                        <w:sz w:val="24"/>
                        <w:szCs w:val="24"/>
                      </w:rPr>
                      <m:t>τ</m:t>
                    </m:r>
                    <m:d>
                      <m:dPr>
                        <m:ctrlPr>
                          <w:rPr>
                            <w:rFonts w:ascii="Cambria Math" w:hAnsi="Cambria Math"/>
                            <w:bCs/>
                            <w:i/>
                            <w:sz w:val="24"/>
                            <w:szCs w:val="24"/>
                          </w:rPr>
                        </m:ctrlPr>
                      </m:dPr>
                      <m:e>
                        <m:f>
                          <m:fPr>
                            <m:type m:val="lin"/>
                            <m:ctrlPr>
                              <w:rPr>
                                <w:rFonts w:ascii="Cambria Math" w:hAnsi="Cambria Math"/>
                                <w:bCs/>
                                <w:i/>
                                <w:sz w:val="24"/>
                                <w:szCs w:val="24"/>
                              </w:rPr>
                            </m:ctrlPr>
                          </m:fPr>
                          <m:num>
                            <m:r>
                              <w:rPr>
                                <w:rFonts w:ascii="Cambria Math" w:hAnsi="Cambria Math"/>
                                <w:sz w:val="24"/>
                                <w:szCs w:val="24"/>
                              </w:rPr>
                              <m:t>d</m:t>
                            </m:r>
                            <m:sSub>
                              <m:sSubPr>
                                <m:ctrlPr>
                                  <w:rPr>
                                    <w:rFonts w:ascii="Cambria Math" w:hAnsi="Cambria Math"/>
                                    <w:bCs/>
                                    <w:i/>
                                    <w:sz w:val="24"/>
                                    <w:szCs w:val="24"/>
                                  </w:rPr>
                                </m:ctrlPr>
                              </m:sSubPr>
                              <m:e>
                                <m:r>
                                  <w:rPr>
                                    <w:rFonts w:ascii="Cambria Math" w:hAnsi="Cambria Math"/>
                                    <w:sz w:val="24"/>
                                    <w:szCs w:val="24"/>
                                  </w:rPr>
                                  <m:t>E</m:t>
                                </m:r>
                              </m:e>
                              <m:sub>
                                <m:r>
                                  <w:rPr>
                                    <w:rFonts w:ascii="Cambria Math" w:hAnsi="Cambria Math"/>
                                    <w:sz w:val="24"/>
                                    <w:szCs w:val="24"/>
                                  </w:rPr>
                                  <m:t>τ</m:t>
                                </m:r>
                              </m:sub>
                            </m:sSub>
                          </m:num>
                          <m:den>
                            <m:r>
                              <w:rPr>
                                <w:rFonts w:ascii="Cambria Math" w:hAnsi="Cambria Math"/>
                                <w:sz w:val="24"/>
                                <w:szCs w:val="24"/>
                              </w:rPr>
                              <m:t>d</m:t>
                            </m:r>
                            <m:rad>
                              <m:radPr>
                                <m:degHide m:val="1"/>
                                <m:ctrlPr>
                                  <w:rPr>
                                    <w:rFonts w:ascii="Cambria Math" w:hAnsi="Cambria Math"/>
                                    <w:bCs/>
                                    <w:i/>
                                    <w:sz w:val="24"/>
                                    <w:szCs w:val="24"/>
                                  </w:rPr>
                                </m:ctrlPr>
                              </m:radPr>
                              <m:deg/>
                              <m:e>
                                <m:r>
                                  <w:rPr>
                                    <w:rFonts w:ascii="Cambria Math" w:hAnsi="Cambria Math"/>
                                    <w:sz w:val="24"/>
                                    <w:szCs w:val="24"/>
                                  </w:rPr>
                                  <m:t>τ</m:t>
                                </m:r>
                              </m:e>
                            </m:rad>
                          </m:den>
                        </m:f>
                      </m:e>
                    </m:d>
                  </m:den>
                </m:f>
              </m:e>
            </m:d>
          </m:e>
          <m:sup>
            <m:r>
              <w:rPr>
                <w:rFonts w:ascii="Cambria Math" w:hAnsi="Cambria Math"/>
                <w:sz w:val="24"/>
                <w:szCs w:val="24"/>
              </w:rPr>
              <m:t>2</m:t>
            </m:r>
          </m:sup>
        </m:sSup>
        <m:d>
          <m:dPr>
            <m:ctrlPr>
              <w:rPr>
                <w:rFonts w:ascii="Cambria Math" w:hAnsi="Cambria Math"/>
                <w:bCs/>
                <w:i/>
                <w:sz w:val="24"/>
                <w:szCs w:val="24"/>
              </w:rPr>
            </m:ctrlPr>
          </m:dPr>
          <m:e>
            <m:r>
              <w:rPr>
                <w:rFonts w:ascii="Cambria Math" w:hAnsi="Cambria Math"/>
                <w:sz w:val="24"/>
                <w:szCs w:val="24"/>
              </w:rPr>
              <m:t>τ</m:t>
            </m:r>
            <m:r>
              <w:rPr>
                <w:rFonts w:ascii="Cambria Math" w:hAnsi="Cambria Math"/>
                <w:sz w:val="24"/>
                <w:szCs w:val="24"/>
              </w:rPr>
              <m:t>≪</m:t>
            </m:r>
            <m:f>
              <m:fPr>
                <m:type m:val="lin"/>
                <m:ctrlPr>
                  <w:rPr>
                    <w:rFonts w:ascii="Cambria Math" w:hAnsi="Cambria Math"/>
                    <w:bCs/>
                    <w:i/>
                    <w:sz w:val="24"/>
                    <w:szCs w:val="24"/>
                  </w:rPr>
                </m:ctrlPr>
              </m:fPr>
              <m:num>
                <m:sSup>
                  <m:sSupPr>
                    <m:ctrlPr>
                      <w:rPr>
                        <w:rFonts w:ascii="Cambria Math" w:hAnsi="Cambria Math"/>
                        <w:bCs/>
                        <w:i/>
                        <w:sz w:val="24"/>
                        <w:szCs w:val="24"/>
                      </w:rPr>
                    </m:ctrlPr>
                  </m:sSupPr>
                  <m:e>
                    <m:r>
                      <w:rPr>
                        <w:rFonts w:ascii="Cambria Math" w:hAnsi="Cambria Math"/>
                        <w:sz w:val="24"/>
                        <w:szCs w:val="24"/>
                      </w:rPr>
                      <m:t>L</m:t>
                    </m:r>
                  </m:e>
                  <m:sup>
                    <m:r>
                      <w:rPr>
                        <w:rFonts w:ascii="Cambria Math" w:hAnsi="Cambria Math"/>
                        <w:sz w:val="24"/>
                        <w:szCs w:val="24"/>
                      </w:rPr>
                      <m:t>2</m:t>
                    </m:r>
                  </m:sup>
                </m:sSup>
              </m:num>
              <m:den>
                <m:r>
                  <w:rPr>
                    <w:rFonts w:ascii="Cambria Math" w:hAnsi="Cambria Math"/>
                    <w:sz w:val="24"/>
                    <w:szCs w:val="24"/>
                  </w:rPr>
                  <m:t>D</m:t>
                </m:r>
              </m:den>
            </m:f>
          </m:e>
        </m:d>
      </m:oMath>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t>(S2)</w:t>
      </w:r>
    </w:p>
    <w:p w14:paraId="6F982325" w14:textId="77777777" w:rsidR="00A04283" w:rsidRDefault="00981750" w:rsidP="00A04283">
      <w:pPr>
        <w:spacing w:before="120" w:after="120" w:line="240" w:lineRule="auto"/>
        <w:ind w:firstLineChars="0" w:firstLine="0"/>
        <w:rPr>
          <w:rFonts w:eastAsiaTheme="minorEastAsia"/>
          <w:bCs/>
          <w:sz w:val="24"/>
          <w:szCs w:val="24"/>
        </w:rPr>
      </w:pPr>
      <w:r w:rsidRPr="00FD62DD">
        <w:rPr>
          <w:rFonts w:eastAsiaTheme="minorEastAsia"/>
          <w:bCs/>
          <w:sz w:val="24"/>
          <w:szCs w:val="24"/>
        </w:rPr>
        <w:t xml:space="preserve">where </w:t>
      </w:r>
      <m:oMath>
        <m:sSub>
          <m:sSubPr>
            <m:ctrlPr>
              <w:rPr>
                <w:rFonts w:ascii="Cambria Math" w:hAnsi="Cambria Math"/>
                <w:bCs/>
                <w:i/>
                <w:sz w:val="24"/>
                <w:szCs w:val="24"/>
              </w:rPr>
            </m:ctrlPr>
          </m:sSubPr>
          <m:e>
            <m:r>
              <w:rPr>
                <w:rFonts w:ascii="Cambria Math" w:hAnsi="Cambria Math"/>
                <w:sz w:val="24"/>
                <w:szCs w:val="24"/>
              </w:rPr>
              <m:t>m</m:t>
            </m:r>
          </m:e>
          <m:sub>
            <m:r>
              <w:rPr>
                <w:rFonts w:ascii="Cambria Math" w:hAnsi="Cambria Math"/>
                <w:sz w:val="24"/>
                <w:szCs w:val="24"/>
              </w:rPr>
              <m:t>b</m:t>
            </m:r>
          </m:sub>
        </m:sSub>
      </m:oMath>
      <w:r w:rsidRPr="00FD62DD">
        <w:rPr>
          <w:rFonts w:eastAsiaTheme="minorEastAsia"/>
          <w:bCs/>
          <w:sz w:val="24"/>
          <w:szCs w:val="24"/>
        </w:rPr>
        <w:t xml:space="preserve"> represents the active substance loading, </w:t>
      </w:r>
      <m:oMath>
        <m:sSub>
          <m:sSubPr>
            <m:ctrlPr>
              <w:rPr>
                <w:rFonts w:ascii="Cambria Math" w:hAnsi="Cambria Math"/>
                <w:bCs/>
                <w:i/>
                <w:sz w:val="24"/>
                <w:szCs w:val="24"/>
              </w:rPr>
            </m:ctrlPr>
          </m:sSubPr>
          <m:e>
            <m:r>
              <w:rPr>
                <w:rFonts w:ascii="Cambria Math" w:hAnsi="Cambria Math"/>
                <w:sz w:val="24"/>
                <w:szCs w:val="24"/>
              </w:rPr>
              <m:t>M</m:t>
            </m:r>
          </m:e>
          <m:sub>
            <m:r>
              <w:rPr>
                <w:rFonts w:ascii="Cambria Math" w:hAnsi="Cambria Math"/>
                <w:sz w:val="24"/>
                <w:szCs w:val="24"/>
              </w:rPr>
              <m:t>b</m:t>
            </m:r>
          </m:sub>
        </m:sSub>
      </m:oMath>
      <w:r w:rsidRPr="00FD62DD">
        <w:rPr>
          <w:rFonts w:eastAsiaTheme="minorEastAsia"/>
          <w:bCs/>
          <w:sz w:val="24"/>
          <w:szCs w:val="24"/>
        </w:rPr>
        <w:t xml:space="preserve"> represents the molar mass of the sample, </w:t>
      </w:r>
      <m:oMath>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m</m:t>
            </m:r>
          </m:sub>
        </m:sSub>
      </m:oMath>
      <w:r w:rsidRPr="00FD62DD">
        <w:rPr>
          <w:rFonts w:eastAsiaTheme="minorEastAsia"/>
          <w:bCs/>
          <w:sz w:val="24"/>
          <w:szCs w:val="24"/>
        </w:rPr>
        <w:t xml:space="preserve"> represents the molar volume of the sample, </w:t>
      </w:r>
      <m:oMath>
        <m:r>
          <w:rPr>
            <w:rFonts w:ascii="Cambria Math" w:hAnsi="Cambria Math"/>
            <w:sz w:val="24"/>
            <w:szCs w:val="24"/>
          </w:rPr>
          <m:t>S</m:t>
        </m:r>
      </m:oMath>
      <w:r w:rsidRPr="00FD62DD">
        <w:rPr>
          <w:rFonts w:eastAsiaTheme="minorEastAsia"/>
          <w:bCs/>
          <w:sz w:val="24"/>
          <w:szCs w:val="24"/>
        </w:rPr>
        <w:t xml:space="preserve"> is the geometric area of the electrode, and </w:t>
      </w:r>
      <m:oMath>
        <m:r>
          <w:rPr>
            <w:rFonts w:ascii="Cambria Math" w:hAnsi="Cambria Math"/>
            <w:sz w:val="24"/>
            <w:szCs w:val="24"/>
          </w:rPr>
          <m:t>S</m:t>
        </m:r>
      </m:oMath>
      <w:r w:rsidRPr="00FD62DD">
        <w:rPr>
          <w:rFonts w:eastAsiaTheme="minorEastAsia"/>
          <w:bCs/>
          <w:sz w:val="24"/>
          <w:szCs w:val="24"/>
        </w:rPr>
        <w:t xml:space="preserve"> is the electrode thickness. In general, the potential</w:t>
      </w:r>
      <w:r w:rsidRPr="00FD62DD">
        <w:rPr>
          <w:rFonts w:eastAsiaTheme="minorEastAsia"/>
          <w:bCs/>
          <w:sz w:val="24"/>
          <w:szCs w:val="24"/>
        </w:rPr>
        <w:t xml:space="preserve"> is linearly related to </w:t>
      </w:r>
      <m:oMath>
        <m:sSup>
          <m:sSupPr>
            <m:ctrlPr>
              <w:rPr>
                <w:rFonts w:ascii="Cambria Math" w:hAnsi="Cambria Math"/>
                <w:bCs/>
                <w:i/>
                <w:sz w:val="24"/>
                <w:szCs w:val="24"/>
              </w:rPr>
            </m:ctrlPr>
          </m:sSupPr>
          <m:e>
            <m:r>
              <w:rPr>
                <w:rFonts w:ascii="Cambria Math" w:hAnsi="Cambria Math"/>
                <w:sz w:val="24"/>
                <w:szCs w:val="24"/>
              </w:rPr>
              <m:t>τ</m:t>
            </m:r>
          </m:e>
          <m:sup>
            <m:f>
              <m:fPr>
                <m:type m:val="lin"/>
                <m:ctrlPr>
                  <w:rPr>
                    <w:rFonts w:ascii="Cambria Math" w:hAnsi="Cambria Math"/>
                    <w:bCs/>
                    <w:i/>
                    <w:sz w:val="24"/>
                    <w:szCs w:val="24"/>
                  </w:rPr>
                </m:ctrlPr>
              </m:fPr>
              <m:num>
                <m:r>
                  <w:rPr>
                    <w:rFonts w:ascii="Cambria Math" w:hAnsi="Cambria Math"/>
                    <w:sz w:val="24"/>
                    <w:szCs w:val="24"/>
                  </w:rPr>
                  <m:t>1</m:t>
                </m:r>
              </m:num>
              <m:den>
                <m:r>
                  <w:rPr>
                    <w:rFonts w:ascii="Cambria Math" w:hAnsi="Cambria Math"/>
                    <w:sz w:val="24"/>
                    <w:szCs w:val="24"/>
                  </w:rPr>
                  <m:t>2</m:t>
                </m:r>
              </m:den>
            </m:f>
          </m:sup>
        </m:sSup>
      </m:oMath>
      <w:r w:rsidRPr="00FD62DD">
        <w:rPr>
          <w:rFonts w:eastAsiaTheme="minorEastAsia"/>
          <w:bCs/>
          <w:sz w:val="24"/>
          <w:szCs w:val="24"/>
        </w:rPr>
        <w:t>, then Eq. S2 can be simplified to the Eq. S3:</w:t>
      </w:r>
    </w:p>
    <w:p w14:paraId="342D316C" w14:textId="565E02A4" w:rsidR="0052323F" w:rsidRPr="00FD62DD" w:rsidRDefault="00981750" w:rsidP="00A04283">
      <w:pPr>
        <w:spacing w:before="120" w:after="120" w:line="240" w:lineRule="auto"/>
        <w:ind w:firstLineChars="0" w:firstLine="0"/>
        <w:jc w:val="right"/>
        <w:rPr>
          <w:rFonts w:eastAsiaTheme="minorEastAsia"/>
          <w:bCs/>
          <w:sz w:val="24"/>
          <w:szCs w:val="24"/>
        </w:rPr>
      </w:pPr>
      <m:oMath>
        <m:r>
          <w:rPr>
            <w:rFonts w:ascii="Cambria Math" w:hAnsi="Cambria Math"/>
            <w:sz w:val="24"/>
            <w:szCs w:val="24"/>
          </w:rPr>
          <m:t>D</m:t>
        </m:r>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4</m:t>
            </m:r>
          </m:num>
          <m:den>
            <m:r>
              <w:rPr>
                <w:rFonts w:ascii="Cambria Math" w:hAnsi="Cambria Math"/>
                <w:sz w:val="24"/>
                <w:szCs w:val="24"/>
              </w:rPr>
              <m:t>πτ</m:t>
            </m:r>
          </m:den>
        </m:f>
        <m:sSup>
          <m:sSupPr>
            <m:ctrlPr>
              <w:rPr>
                <w:rFonts w:ascii="Cambria Math" w:hAnsi="Cambria Math"/>
                <w:bCs/>
                <w:i/>
                <w:sz w:val="24"/>
                <w:szCs w:val="24"/>
              </w:rPr>
            </m:ctrlPr>
          </m:sSupPr>
          <m:e>
            <m:d>
              <m:dPr>
                <m:ctrlPr>
                  <w:rPr>
                    <w:rFonts w:ascii="Cambria Math" w:hAnsi="Cambria Math"/>
                    <w:bCs/>
                    <w:i/>
                    <w:sz w:val="24"/>
                    <w:szCs w:val="24"/>
                  </w:rPr>
                </m:ctrlPr>
              </m:dPr>
              <m:e>
                <m:f>
                  <m:fPr>
                    <m:ctrlPr>
                      <w:rPr>
                        <w:rFonts w:ascii="Cambria Math" w:hAnsi="Cambria Math"/>
                        <w:bCs/>
                        <w:i/>
                        <w:sz w:val="24"/>
                        <w:szCs w:val="24"/>
                      </w:rPr>
                    </m:ctrlPr>
                  </m:fPr>
                  <m:num>
                    <m:sSub>
                      <m:sSubPr>
                        <m:ctrlPr>
                          <w:rPr>
                            <w:rFonts w:ascii="Cambria Math" w:hAnsi="Cambria Math"/>
                            <w:bCs/>
                            <w:i/>
                            <w:sz w:val="24"/>
                            <w:szCs w:val="24"/>
                          </w:rPr>
                        </m:ctrlPr>
                      </m:sSubPr>
                      <m:e>
                        <m:r>
                          <w:rPr>
                            <w:rFonts w:ascii="Cambria Math" w:hAnsi="Cambria Math"/>
                            <w:sz w:val="24"/>
                            <w:szCs w:val="24"/>
                          </w:rPr>
                          <m:t>n</m:t>
                        </m:r>
                      </m:e>
                      <m:sub>
                        <m:r>
                          <w:rPr>
                            <w:rFonts w:ascii="Cambria Math" w:hAnsi="Cambria Math"/>
                            <w:sz w:val="24"/>
                            <w:szCs w:val="24"/>
                          </w:rPr>
                          <m:t>m</m:t>
                        </m:r>
                      </m:sub>
                    </m:sSub>
                    <m:sSub>
                      <m:sSubPr>
                        <m:ctrlPr>
                          <w:rPr>
                            <w:rFonts w:ascii="Cambria Math" w:hAnsi="Cambria Math"/>
                            <w:bCs/>
                            <w:i/>
                            <w:sz w:val="24"/>
                            <w:szCs w:val="24"/>
                          </w:rPr>
                        </m:ctrlPr>
                      </m:sSubPr>
                      <m:e>
                        <m:r>
                          <w:rPr>
                            <w:rFonts w:ascii="Cambria Math" w:hAnsi="Cambria Math"/>
                            <w:sz w:val="24"/>
                            <w:szCs w:val="24"/>
                          </w:rPr>
                          <m:t>V</m:t>
                        </m:r>
                      </m:e>
                      <m:sub>
                        <m:r>
                          <w:rPr>
                            <w:rFonts w:ascii="Cambria Math" w:hAnsi="Cambria Math"/>
                            <w:sz w:val="24"/>
                            <w:szCs w:val="24"/>
                          </w:rPr>
                          <m:t>m</m:t>
                        </m:r>
                      </m:sub>
                    </m:sSub>
                  </m:num>
                  <m:den>
                    <m:r>
                      <w:rPr>
                        <w:rFonts w:ascii="Cambria Math" w:hAnsi="Cambria Math"/>
                        <w:sz w:val="24"/>
                        <w:szCs w:val="24"/>
                      </w:rPr>
                      <m:t>S</m:t>
                    </m:r>
                  </m:den>
                </m:f>
              </m:e>
            </m:d>
          </m:e>
          <m:sup>
            <m:r>
              <w:rPr>
                <w:rFonts w:ascii="Cambria Math" w:hAnsi="Cambria Math"/>
                <w:sz w:val="24"/>
                <w:szCs w:val="24"/>
              </w:rPr>
              <m:t>2</m:t>
            </m:r>
          </m:sup>
        </m:sSup>
        <m:sSup>
          <m:sSupPr>
            <m:ctrlPr>
              <w:rPr>
                <w:rFonts w:ascii="Cambria Math" w:hAnsi="Cambria Math"/>
                <w:bCs/>
                <w:i/>
                <w:sz w:val="24"/>
                <w:szCs w:val="24"/>
              </w:rPr>
            </m:ctrlPr>
          </m:sSupPr>
          <m:e>
            <m:d>
              <m:dPr>
                <m:ctrlPr>
                  <w:rPr>
                    <w:rFonts w:ascii="Cambria Math" w:hAnsi="Cambria Math"/>
                    <w:bCs/>
                    <w:i/>
                    <w:sz w:val="24"/>
                    <w:szCs w:val="24"/>
                  </w:rPr>
                </m:ctrlPr>
              </m:dPr>
              <m:e>
                <m:f>
                  <m:fPr>
                    <m:ctrlPr>
                      <w:rPr>
                        <w:rFonts w:ascii="Cambria Math" w:hAnsi="Cambria Math"/>
                        <w:bCs/>
                        <w:i/>
                        <w:sz w:val="24"/>
                        <w:szCs w:val="24"/>
                      </w:rPr>
                    </m:ctrlPr>
                  </m:fPr>
                  <m:num>
                    <m:sSub>
                      <m:sSubPr>
                        <m:ctrlPr>
                          <w:rPr>
                            <w:rFonts w:ascii="Cambria Math" w:hAnsi="Cambria Math"/>
                            <w:bCs/>
                            <w:i/>
                            <w:sz w:val="24"/>
                            <w:szCs w:val="24"/>
                          </w:rPr>
                        </m:ctrlPr>
                      </m:sSubPr>
                      <m:e>
                        <m:r>
                          <w:rPr>
                            <w:rFonts w:ascii="Cambria Math" w:hAnsi="Cambria Math"/>
                            <w:sz w:val="24"/>
                            <w:szCs w:val="24"/>
                          </w:rPr>
                          <m:t>∆</m:t>
                        </m:r>
                        <m:r>
                          <w:rPr>
                            <w:rFonts w:ascii="Cambria Math" w:hAnsi="Cambria Math"/>
                            <w:sz w:val="24"/>
                            <w:szCs w:val="24"/>
                          </w:rPr>
                          <m:t>E</m:t>
                        </m:r>
                      </m:e>
                      <m:sub>
                        <m:r>
                          <w:rPr>
                            <w:rFonts w:ascii="Cambria Math" w:hAnsi="Cambria Math"/>
                            <w:sz w:val="24"/>
                            <w:szCs w:val="24"/>
                          </w:rPr>
                          <m:t>s</m:t>
                        </m:r>
                      </m:sub>
                    </m:sSub>
                  </m:num>
                  <m:den>
                    <m:sSub>
                      <m:sSubPr>
                        <m:ctrlPr>
                          <w:rPr>
                            <w:rFonts w:ascii="Cambria Math" w:hAnsi="Cambria Math"/>
                            <w:bCs/>
                            <w:i/>
                            <w:sz w:val="24"/>
                            <w:szCs w:val="24"/>
                          </w:rPr>
                        </m:ctrlPr>
                      </m:sSubPr>
                      <m:e>
                        <m:r>
                          <w:rPr>
                            <w:rFonts w:ascii="Cambria Math" w:hAnsi="Cambria Math"/>
                            <w:sz w:val="24"/>
                            <w:szCs w:val="24"/>
                          </w:rPr>
                          <m:t>∆</m:t>
                        </m:r>
                        <m:r>
                          <w:rPr>
                            <w:rFonts w:ascii="Cambria Math" w:hAnsi="Cambria Math"/>
                            <w:sz w:val="24"/>
                            <w:szCs w:val="24"/>
                          </w:rPr>
                          <m:t>E</m:t>
                        </m:r>
                      </m:e>
                      <m:sub>
                        <m:r>
                          <w:rPr>
                            <w:rFonts w:ascii="Cambria Math" w:hAnsi="Cambria Math"/>
                            <w:sz w:val="24"/>
                            <w:szCs w:val="24"/>
                          </w:rPr>
                          <m:t>τ</m:t>
                        </m:r>
                      </m:sub>
                    </m:sSub>
                  </m:den>
                </m:f>
              </m:e>
            </m:d>
          </m:e>
          <m:sup>
            <m:r>
              <w:rPr>
                <w:rFonts w:ascii="Cambria Math" w:hAnsi="Cambria Math"/>
                <w:sz w:val="24"/>
                <w:szCs w:val="24"/>
              </w:rPr>
              <m:t>2</m:t>
            </m:r>
          </m:sup>
        </m:sSup>
      </m:oMath>
      <w:r w:rsidRPr="00FD62DD">
        <w:rPr>
          <w:rFonts w:eastAsiaTheme="minorEastAsia"/>
          <w:bCs/>
          <w:sz w:val="24"/>
          <w:szCs w:val="24"/>
        </w:rPr>
        <w:tab/>
      </w:r>
      <w:r w:rsidRPr="00FD62DD">
        <w:rPr>
          <w:rFonts w:eastAsiaTheme="minorEastAsia"/>
          <w:bCs/>
          <w:sz w:val="24"/>
          <w:szCs w:val="24"/>
        </w:rPr>
        <w:tab/>
      </w:r>
      <w:r w:rsidR="00A04283">
        <w:rPr>
          <w:rFonts w:eastAsiaTheme="minorEastAsia"/>
          <w:bCs/>
          <w:sz w:val="24"/>
          <w:szCs w:val="24"/>
        </w:rPr>
        <w:t xml:space="preserve">  </w:t>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r>
      <w:r w:rsidRPr="00FD62DD">
        <w:rPr>
          <w:rFonts w:eastAsiaTheme="minorEastAsia"/>
          <w:bCs/>
          <w:sz w:val="24"/>
          <w:szCs w:val="24"/>
        </w:rPr>
        <w:tab/>
        <w:t>(S3)</w:t>
      </w:r>
    </w:p>
    <w:p w14:paraId="44CDC4D7" w14:textId="77777777" w:rsidR="0052323F" w:rsidRPr="00FD62DD" w:rsidRDefault="0052323F" w:rsidP="00107037">
      <w:pPr>
        <w:spacing w:before="120" w:after="120" w:line="240" w:lineRule="auto"/>
        <w:ind w:firstLineChars="0" w:firstLine="0"/>
        <w:jc w:val="center"/>
        <w:rPr>
          <w:rFonts w:eastAsiaTheme="minorEastAsia"/>
          <w:b/>
          <w:bCs/>
          <w:sz w:val="24"/>
          <w:szCs w:val="24"/>
        </w:rPr>
      </w:pPr>
    </w:p>
    <w:p w14:paraId="25054652" w14:textId="77777777" w:rsidR="0052323F" w:rsidRPr="00FD62DD" w:rsidRDefault="00981750" w:rsidP="00107037">
      <w:pPr>
        <w:spacing w:before="120" w:after="120" w:line="240" w:lineRule="auto"/>
        <w:ind w:firstLineChars="0" w:firstLine="0"/>
        <w:jc w:val="center"/>
        <w:rPr>
          <w:rFonts w:eastAsiaTheme="minorEastAsia"/>
          <w:b/>
          <w:bCs/>
          <w:sz w:val="24"/>
          <w:szCs w:val="24"/>
        </w:rPr>
      </w:pPr>
      <w:r w:rsidRPr="00FD62DD">
        <w:rPr>
          <w:noProof/>
          <w:sz w:val="24"/>
          <w:szCs w:val="24"/>
        </w:rPr>
        <w:lastRenderedPageBreak/>
        <w:drawing>
          <wp:inline distT="0" distB="0" distL="0" distR="0" wp14:anchorId="60D6598B" wp14:editId="4D09AEB3">
            <wp:extent cx="3274435" cy="25336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3276017" cy="2534874"/>
                    </a:xfrm>
                    <a:prstGeom prst="rect">
                      <a:avLst/>
                    </a:prstGeom>
                    <a:noFill/>
                    <a:ln>
                      <a:noFill/>
                    </a:ln>
                  </pic:spPr>
                </pic:pic>
              </a:graphicData>
            </a:graphic>
          </wp:inline>
        </w:drawing>
      </w:r>
    </w:p>
    <w:p w14:paraId="012AFC1E" w14:textId="4AA3CFF6" w:rsidR="0052323F" w:rsidRPr="00FD62DD" w:rsidRDefault="00981750" w:rsidP="006267D3">
      <w:pPr>
        <w:spacing w:before="120" w:after="120" w:line="240" w:lineRule="auto"/>
        <w:ind w:firstLineChars="0" w:firstLine="0"/>
        <w:jc w:val="left"/>
        <w:rPr>
          <w:rFonts w:eastAsiaTheme="minorEastAsia"/>
          <w:b/>
          <w:bCs/>
          <w:sz w:val="24"/>
          <w:szCs w:val="24"/>
        </w:rPr>
      </w:pPr>
      <w:r w:rsidRPr="006267D3">
        <w:rPr>
          <w:b/>
          <w:bCs/>
          <w:sz w:val="24"/>
          <w:szCs w:val="24"/>
        </w:rPr>
        <w:t>Fig. S22</w:t>
      </w:r>
      <w:r w:rsidRPr="00FD62DD">
        <w:rPr>
          <w:sz w:val="24"/>
          <w:szCs w:val="24"/>
        </w:rPr>
        <w:t xml:space="preserve"> GCD curves of HVO in different electrolytes at 0.5 A g</w:t>
      </w:r>
      <w:r w:rsidRPr="00FD62DD">
        <w:rPr>
          <w:sz w:val="24"/>
          <w:szCs w:val="24"/>
          <w:vertAlign w:val="superscript"/>
        </w:rPr>
        <w:t>–1</w:t>
      </w:r>
    </w:p>
    <w:p w14:paraId="6916BC93" w14:textId="77777777" w:rsidR="0052323F" w:rsidRPr="00FD62DD" w:rsidRDefault="00981750" w:rsidP="00107037">
      <w:pPr>
        <w:spacing w:before="120" w:after="120" w:line="240" w:lineRule="auto"/>
        <w:ind w:firstLineChars="0" w:firstLine="0"/>
        <w:jc w:val="center"/>
        <w:rPr>
          <w:rFonts w:eastAsiaTheme="minorEastAsia"/>
          <w:b/>
          <w:bCs/>
          <w:sz w:val="24"/>
          <w:szCs w:val="24"/>
        </w:rPr>
      </w:pPr>
      <w:r w:rsidRPr="00FD62DD">
        <w:rPr>
          <w:noProof/>
          <w:sz w:val="24"/>
          <w:szCs w:val="24"/>
        </w:rPr>
        <w:drawing>
          <wp:inline distT="0" distB="0" distL="0" distR="0" wp14:anchorId="29E7D557" wp14:editId="3DF03742">
            <wp:extent cx="4943475" cy="2339975"/>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43889" cy="2340000"/>
                    </a:xfrm>
                    <a:prstGeom prst="rect">
                      <a:avLst/>
                    </a:prstGeom>
                    <a:noFill/>
                    <a:ln>
                      <a:noFill/>
                    </a:ln>
                  </pic:spPr>
                </pic:pic>
              </a:graphicData>
            </a:graphic>
          </wp:inline>
        </w:drawing>
      </w:r>
    </w:p>
    <w:p w14:paraId="284D3DA7" w14:textId="5A0F15CB" w:rsidR="0052323F" w:rsidRPr="00FD62DD" w:rsidRDefault="00981750" w:rsidP="00107037">
      <w:pPr>
        <w:spacing w:before="120" w:after="120" w:line="240" w:lineRule="auto"/>
        <w:ind w:firstLineChars="0" w:firstLine="0"/>
        <w:rPr>
          <w:sz w:val="24"/>
          <w:szCs w:val="24"/>
        </w:rPr>
      </w:pPr>
      <w:r w:rsidRPr="006267D3">
        <w:rPr>
          <w:b/>
          <w:bCs/>
          <w:sz w:val="24"/>
          <w:szCs w:val="24"/>
        </w:rPr>
        <w:t>Fig. S23</w:t>
      </w:r>
      <w:r w:rsidRPr="00FD62DD">
        <w:rPr>
          <w:sz w:val="24"/>
          <w:szCs w:val="24"/>
        </w:rPr>
        <w:t xml:space="preserve"> (</w:t>
      </w:r>
      <w:r w:rsidRPr="006267D3">
        <w:rPr>
          <w:b/>
          <w:bCs/>
          <w:sz w:val="24"/>
          <w:szCs w:val="24"/>
        </w:rPr>
        <w:t>a</w:t>
      </w:r>
      <w:r w:rsidRPr="00FD62DD">
        <w:rPr>
          <w:sz w:val="24"/>
          <w:szCs w:val="24"/>
        </w:rPr>
        <w:t xml:space="preserve">) Voltage profiles of Zn||Zn </w:t>
      </w:r>
      <w:r w:rsidRPr="00FD62DD">
        <w:rPr>
          <w:sz w:val="24"/>
          <w:szCs w:val="24"/>
        </w:rPr>
        <w:t>symmetric cells cycled at 0.5 mA cm⁻² in hybrid electrolyte and Zn²⁺ electrolyte. (</w:t>
      </w:r>
      <w:r w:rsidRPr="006267D3">
        <w:rPr>
          <w:b/>
          <w:bCs/>
          <w:sz w:val="24"/>
          <w:szCs w:val="24"/>
        </w:rPr>
        <w:t>b</w:t>
      </w:r>
      <w:r w:rsidRPr="00FD62DD">
        <w:rPr>
          <w:sz w:val="24"/>
          <w:szCs w:val="24"/>
        </w:rPr>
        <w:t>) SEM image of the Zn electrode after cycling in hybrid electrolyte</w:t>
      </w:r>
    </w:p>
    <w:p w14:paraId="36430456" w14:textId="77777777" w:rsidR="0052323F" w:rsidRPr="00FD62DD" w:rsidRDefault="0052323F" w:rsidP="00107037">
      <w:pPr>
        <w:spacing w:before="120" w:after="120" w:line="240" w:lineRule="auto"/>
        <w:ind w:firstLineChars="0" w:firstLine="0"/>
        <w:rPr>
          <w:rFonts w:eastAsiaTheme="minorEastAsia"/>
          <w:sz w:val="24"/>
          <w:szCs w:val="24"/>
        </w:rPr>
      </w:pPr>
    </w:p>
    <w:p w14:paraId="440A3AD2" w14:textId="77777777" w:rsidR="0052323F" w:rsidRPr="00FD62DD" w:rsidRDefault="00981750" w:rsidP="00107037">
      <w:pPr>
        <w:spacing w:before="120" w:after="120" w:line="240" w:lineRule="auto"/>
        <w:ind w:firstLineChars="0" w:firstLine="0"/>
        <w:rPr>
          <w:rFonts w:eastAsiaTheme="minorEastAsia"/>
          <w:sz w:val="24"/>
          <w:szCs w:val="24"/>
        </w:rPr>
      </w:pPr>
      <w:bookmarkStart w:id="15" w:name="OLE_LINK14"/>
      <w:r w:rsidRPr="00FD62DD">
        <w:rPr>
          <w:rFonts w:eastAsiaTheme="minorEastAsia"/>
          <w:sz w:val="24"/>
          <w:szCs w:val="24"/>
        </w:rPr>
        <w:t>Test results from Zn||Zn symmetric electrodes indicate that the polarization voltage of the mixed elec</w:t>
      </w:r>
      <w:r w:rsidRPr="00FD62DD">
        <w:rPr>
          <w:rFonts w:eastAsiaTheme="minorEastAsia"/>
          <w:sz w:val="24"/>
          <w:szCs w:val="24"/>
        </w:rPr>
        <w:t>trolyte is lower than that of the electrolyte containing only Zn²⁺ (</w:t>
      </w:r>
      <w:bookmarkStart w:id="16" w:name="OLE_LINK15"/>
      <w:r w:rsidRPr="00FD62DD">
        <w:rPr>
          <w:sz w:val="24"/>
          <w:szCs w:val="24"/>
        </w:rPr>
        <w:t>Fig. S23a</w:t>
      </w:r>
      <w:bookmarkEnd w:id="16"/>
      <w:r w:rsidRPr="00FD62DD">
        <w:rPr>
          <w:rFonts w:eastAsiaTheme="minorEastAsia"/>
          <w:sz w:val="24"/>
          <w:szCs w:val="24"/>
        </w:rPr>
        <w:t>). This observation suggests that NH₄⁺ ions promote more uniform zinc deposition through electrostatic interactions.</w:t>
      </w:r>
      <w:r w:rsidRPr="00FD62DD">
        <w:rPr>
          <w:rFonts w:cs="Times New Roman"/>
          <w:kern w:val="0"/>
          <w:sz w:val="24"/>
          <w:szCs w:val="24"/>
          <w:lang w:val="en-SG"/>
        </w:rPr>
        <w:t xml:space="preserve"> SEM characterization of the Zn electrode after 24 hours of cyc</w:t>
      </w:r>
      <w:r w:rsidRPr="00FD62DD">
        <w:rPr>
          <w:rFonts w:cs="Times New Roman"/>
          <w:kern w:val="0"/>
          <w:sz w:val="24"/>
          <w:szCs w:val="24"/>
          <w:lang w:val="en-SG"/>
        </w:rPr>
        <w:t>ling shows well-maintained morphology without noticeable zinc dendrite formation, confirming the electrode's structural integrity under prolonged operation (</w:t>
      </w:r>
      <w:r w:rsidRPr="00FD62DD">
        <w:rPr>
          <w:sz w:val="24"/>
          <w:szCs w:val="24"/>
        </w:rPr>
        <w:t>Fig. S23b</w:t>
      </w:r>
      <w:r w:rsidRPr="00FD62DD">
        <w:rPr>
          <w:rFonts w:cs="Times New Roman"/>
          <w:kern w:val="0"/>
          <w:sz w:val="24"/>
          <w:szCs w:val="24"/>
          <w:lang w:val="en-SG"/>
        </w:rPr>
        <w:t>).</w:t>
      </w:r>
    </w:p>
    <w:bookmarkEnd w:id="15"/>
    <w:p w14:paraId="577F737D" w14:textId="77777777" w:rsidR="0052323F" w:rsidRPr="00FD62DD" w:rsidRDefault="0052323F" w:rsidP="00107037">
      <w:pPr>
        <w:spacing w:before="120" w:after="120" w:line="240" w:lineRule="auto"/>
        <w:ind w:firstLineChars="0" w:firstLine="0"/>
        <w:rPr>
          <w:rFonts w:eastAsiaTheme="minorEastAsia"/>
          <w:sz w:val="24"/>
          <w:szCs w:val="24"/>
        </w:rPr>
      </w:pPr>
    </w:p>
    <w:p w14:paraId="4F7E5D26" w14:textId="77777777" w:rsidR="0052323F" w:rsidRPr="00FD62DD" w:rsidRDefault="0052323F" w:rsidP="00107037">
      <w:pPr>
        <w:spacing w:before="120" w:after="120" w:line="240" w:lineRule="auto"/>
        <w:ind w:firstLineChars="0" w:firstLine="0"/>
        <w:rPr>
          <w:rFonts w:eastAsiaTheme="minorEastAsia"/>
          <w:sz w:val="24"/>
          <w:szCs w:val="24"/>
        </w:rPr>
      </w:pPr>
    </w:p>
    <w:p w14:paraId="3DC8535F" w14:textId="77777777" w:rsidR="0052323F" w:rsidRPr="00FD62DD" w:rsidRDefault="00981750" w:rsidP="00107037">
      <w:pPr>
        <w:spacing w:before="120" w:after="120" w:line="240" w:lineRule="auto"/>
        <w:ind w:firstLineChars="0" w:firstLine="0"/>
        <w:rPr>
          <w:rFonts w:eastAsiaTheme="minorEastAsia"/>
          <w:b/>
          <w:bCs/>
        </w:rPr>
      </w:pPr>
      <w:r w:rsidRPr="00FD62DD">
        <w:rPr>
          <w:rFonts w:eastAsiaTheme="minorEastAsia"/>
          <w:b/>
          <w:bCs/>
        </w:rPr>
        <w:br w:type="page"/>
      </w:r>
    </w:p>
    <w:p w14:paraId="493331D0" w14:textId="77777777" w:rsidR="0052323F" w:rsidRPr="00FD62DD" w:rsidRDefault="00981750" w:rsidP="00107037">
      <w:pPr>
        <w:spacing w:before="120" w:after="120" w:line="240" w:lineRule="auto"/>
        <w:ind w:firstLineChars="0" w:firstLine="0"/>
        <w:jc w:val="center"/>
        <w:rPr>
          <w:rFonts w:eastAsiaTheme="minorEastAsia"/>
          <w:b/>
          <w:bCs/>
        </w:rPr>
      </w:pPr>
      <w:r w:rsidRPr="00FD62DD">
        <w:rPr>
          <w:noProof/>
        </w:rPr>
        <w:lastRenderedPageBreak/>
        <w:drawing>
          <wp:inline distT="0" distB="0" distL="0" distR="0" wp14:anchorId="4384B1D9" wp14:editId="5382F511">
            <wp:extent cx="3264298" cy="25209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3266841" cy="2522914"/>
                    </a:xfrm>
                    <a:prstGeom prst="rect">
                      <a:avLst/>
                    </a:prstGeom>
                    <a:noFill/>
                    <a:ln>
                      <a:noFill/>
                    </a:ln>
                  </pic:spPr>
                </pic:pic>
              </a:graphicData>
            </a:graphic>
          </wp:inline>
        </w:drawing>
      </w:r>
    </w:p>
    <w:p w14:paraId="4C0ACB48" w14:textId="620074CD" w:rsidR="0052323F" w:rsidRPr="00FD62DD" w:rsidRDefault="00981750" w:rsidP="006267D3">
      <w:pPr>
        <w:spacing w:before="120" w:after="120" w:line="240" w:lineRule="auto"/>
        <w:ind w:firstLineChars="41" w:firstLine="99"/>
        <w:jc w:val="left"/>
        <w:rPr>
          <w:rFonts w:cs="Times New Roman"/>
          <w:kern w:val="0"/>
          <w:sz w:val="24"/>
          <w:szCs w:val="24"/>
          <w:lang w:val="en-SG"/>
        </w:rPr>
      </w:pPr>
      <w:r w:rsidRPr="006267D3">
        <w:rPr>
          <w:rFonts w:cs="Times New Roman"/>
          <w:b/>
          <w:bCs/>
          <w:sz w:val="24"/>
          <w:szCs w:val="24"/>
        </w:rPr>
        <w:t>Fig</w:t>
      </w:r>
      <w:r w:rsidRPr="006267D3">
        <w:rPr>
          <w:rFonts w:eastAsia="宋体" w:cs="Times New Roman"/>
          <w:b/>
          <w:bCs/>
          <w:sz w:val="24"/>
          <w:szCs w:val="24"/>
        </w:rPr>
        <w:t>.</w:t>
      </w:r>
      <w:r w:rsidRPr="006267D3">
        <w:rPr>
          <w:rFonts w:cs="Times New Roman"/>
          <w:b/>
          <w:bCs/>
          <w:sz w:val="24"/>
          <w:szCs w:val="24"/>
        </w:rPr>
        <w:t xml:space="preserve"> S24</w:t>
      </w:r>
      <w:r w:rsidRPr="00FD62DD">
        <w:rPr>
          <w:rFonts w:cs="Times New Roman"/>
          <w:sz w:val="24"/>
          <w:szCs w:val="24"/>
        </w:rPr>
        <w:t xml:space="preserve"> EIS spectra of PAM hy</w:t>
      </w:r>
      <w:r w:rsidRPr="00FD62DD">
        <w:rPr>
          <w:rFonts w:cs="Times New Roman"/>
          <w:kern w:val="0"/>
          <w:sz w:val="24"/>
          <w:szCs w:val="24"/>
          <w:lang w:val="en-SG"/>
        </w:rPr>
        <w:t>drogel electrolyte</w:t>
      </w:r>
    </w:p>
    <w:p w14:paraId="19617F22" w14:textId="77777777" w:rsidR="0052323F" w:rsidRPr="00FD62DD" w:rsidRDefault="00981750" w:rsidP="00107037">
      <w:pPr>
        <w:spacing w:before="120" w:after="120" w:line="240" w:lineRule="auto"/>
        <w:ind w:firstLineChars="0" w:firstLine="0"/>
        <w:jc w:val="center"/>
        <w:rPr>
          <w:rFonts w:eastAsiaTheme="minorEastAsia"/>
          <w:b/>
          <w:bCs/>
        </w:rPr>
      </w:pPr>
      <w:r w:rsidRPr="00FD62DD">
        <w:rPr>
          <w:noProof/>
        </w:rPr>
        <w:drawing>
          <wp:inline distT="0" distB="0" distL="0" distR="0" wp14:anchorId="3ED67E24" wp14:editId="74459CC2">
            <wp:extent cx="3242224" cy="25019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3246333" cy="2505071"/>
                    </a:xfrm>
                    <a:prstGeom prst="rect">
                      <a:avLst/>
                    </a:prstGeom>
                    <a:noFill/>
                    <a:ln>
                      <a:noFill/>
                    </a:ln>
                  </pic:spPr>
                </pic:pic>
              </a:graphicData>
            </a:graphic>
          </wp:inline>
        </w:drawing>
      </w:r>
    </w:p>
    <w:p w14:paraId="4C570C59" w14:textId="468DBE54" w:rsidR="0052323F" w:rsidRPr="00FD62DD" w:rsidRDefault="00981750" w:rsidP="006267D3">
      <w:pPr>
        <w:spacing w:before="120" w:after="120" w:line="240" w:lineRule="auto"/>
        <w:ind w:firstLineChars="41" w:firstLine="99"/>
        <w:jc w:val="left"/>
        <w:rPr>
          <w:rFonts w:cs="Times New Roman"/>
          <w:sz w:val="24"/>
          <w:szCs w:val="24"/>
        </w:rPr>
      </w:pPr>
      <w:r w:rsidRPr="006267D3">
        <w:rPr>
          <w:rFonts w:cs="Times New Roman"/>
          <w:b/>
          <w:bCs/>
          <w:sz w:val="24"/>
          <w:szCs w:val="24"/>
        </w:rPr>
        <w:t>Fig. S25</w:t>
      </w:r>
      <w:r w:rsidRPr="00FD62DD">
        <w:rPr>
          <w:rFonts w:cs="Times New Roman"/>
          <w:sz w:val="24"/>
          <w:szCs w:val="24"/>
        </w:rPr>
        <w:t xml:space="preserve"> T</w:t>
      </w:r>
      <w:r w:rsidRPr="00FD62DD">
        <w:rPr>
          <w:rFonts w:cs="Times New Roman" w:hint="eastAsia"/>
          <w:sz w:val="24"/>
          <w:szCs w:val="24"/>
        </w:rPr>
        <w:t>en</w:t>
      </w:r>
      <w:r w:rsidRPr="00FD62DD">
        <w:rPr>
          <w:rFonts w:cs="Times New Roman"/>
          <w:sz w:val="24"/>
          <w:szCs w:val="24"/>
        </w:rPr>
        <w:t>sile stress-stra</w:t>
      </w:r>
      <w:r w:rsidRPr="00FD62DD">
        <w:rPr>
          <w:rFonts w:cs="Times New Roman"/>
          <w:sz w:val="24"/>
          <w:szCs w:val="24"/>
        </w:rPr>
        <w:t>in curve of PAM hydrogel electrolyte</w:t>
      </w:r>
    </w:p>
    <w:p w14:paraId="428199BC" w14:textId="77777777" w:rsidR="0052323F" w:rsidRPr="00FD62DD" w:rsidRDefault="0052323F" w:rsidP="00107037">
      <w:pPr>
        <w:spacing w:before="120" w:after="120" w:line="240" w:lineRule="auto"/>
        <w:ind w:firstLine="240"/>
        <w:jc w:val="center"/>
        <w:rPr>
          <w:rFonts w:cs="Times New Roman"/>
          <w:sz w:val="24"/>
          <w:szCs w:val="24"/>
        </w:rPr>
      </w:pPr>
    </w:p>
    <w:p w14:paraId="00F38E41" w14:textId="77777777" w:rsidR="0052323F" w:rsidRPr="00FD62DD" w:rsidRDefault="00981750" w:rsidP="00107037">
      <w:pPr>
        <w:widowControl/>
        <w:shd w:val="clear" w:color="auto" w:fill="FFFFFF"/>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 xml:space="preserve">The thermal conductivity of the hydrogel electrolyte was measured based on the steady-state method (heat conservation law). The hydrogel was heated at a specific temperature for 1 hour, and the thermal </w:t>
      </w:r>
      <w:r w:rsidRPr="00FD62DD">
        <w:rPr>
          <w:rFonts w:cs="Times New Roman"/>
          <w:kern w:val="0"/>
          <w:sz w:val="24"/>
          <w:szCs w:val="24"/>
          <w:lang w:val="en-SG"/>
        </w:rPr>
        <w:t>distribution within the hydrogel was determined using a Fourier-transform infrared thermal imager (FLIR T630sc). The thermal conductivity (κ) was calculated using the Eq. S4:</w:t>
      </w:r>
    </w:p>
    <w:p w14:paraId="1AA4F5A2" w14:textId="65D35E0B" w:rsidR="0052323F" w:rsidRPr="00FD62DD" w:rsidRDefault="00981750" w:rsidP="00A04283">
      <w:pPr>
        <w:widowControl/>
        <w:shd w:val="clear" w:color="auto" w:fill="FFFFFF"/>
        <w:spacing w:before="120" w:after="120" w:line="240" w:lineRule="auto"/>
        <w:ind w:firstLineChars="0" w:firstLine="0"/>
        <w:jc w:val="right"/>
        <w:rPr>
          <w:rFonts w:cs="Times New Roman"/>
          <w:kern w:val="0"/>
          <w:sz w:val="24"/>
          <w:szCs w:val="24"/>
          <w:lang w:val="en-SG"/>
        </w:rPr>
      </w:pPr>
      <m:oMath>
        <m:r>
          <w:rPr>
            <w:rFonts w:ascii="Cambria Math" w:hAnsi="Cambria Math" w:cs="Times New Roman"/>
            <w:kern w:val="0"/>
            <w:sz w:val="24"/>
            <w:szCs w:val="24"/>
            <w:lang w:val="en-SG"/>
          </w:rPr>
          <m:t>κ</m:t>
        </m:r>
        <m:r>
          <w:rPr>
            <w:rFonts w:ascii="Cambria Math" w:hAnsi="Cambria Math" w:cs="Times New Roman"/>
            <w:kern w:val="0"/>
            <w:sz w:val="24"/>
            <w:szCs w:val="24"/>
            <w:lang w:val="en-SG"/>
          </w:rPr>
          <m:t>=</m:t>
        </m:r>
        <m:f>
          <m:fPr>
            <m:ctrlPr>
              <w:rPr>
                <w:rFonts w:ascii="Cambria Math" w:hAnsi="Cambria Math" w:cs="Times New Roman"/>
                <w:i/>
                <w:kern w:val="0"/>
                <w:sz w:val="24"/>
                <w:szCs w:val="24"/>
                <w:lang w:val="en-SG"/>
              </w:rPr>
            </m:ctrlPr>
          </m:fPr>
          <m:num>
            <m:r>
              <w:rPr>
                <w:rFonts w:ascii="Cambria Math" w:hAnsi="Cambria Math" w:cs="Times New Roman"/>
                <w:kern w:val="0"/>
                <w:sz w:val="24"/>
                <w:szCs w:val="24"/>
                <w:lang w:val="en-SG"/>
              </w:rPr>
              <m:t>Q</m:t>
            </m:r>
            <m:r>
              <w:rPr>
                <w:rFonts w:ascii="Cambria Math" w:hAnsi="Cambria Math" w:cs="Times New Roman"/>
                <w:kern w:val="0"/>
                <w:sz w:val="24"/>
                <w:szCs w:val="24"/>
                <w:lang w:val="en-SG"/>
              </w:rPr>
              <m:t>×</m:t>
            </m:r>
            <m:r>
              <w:rPr>
                <w:rFonts w:ascii="Cambria Math" w:hAnsi="Cambria Math" w:cs="Times New Roman"/>
                <w:kern w:val="0"/>
                <w:sz w:val="24"/>
                <w:szCs w:val="24"/>
                <w:lang w:val="en-SG"/>
              </w:rPr>
              <m:t>L</m:t>
            </m:r>
          </m:num>
          <m:den>
            <m:r>
              <w:rPr>
                <w:rFonts w:ascii="Cambria Math" w:hAnsi="Cambria Math" w:cs="Times New Roman"/>
                <w:kern w:val="0"/>
                <w:sz w:val="24"/>
                <w:szCs w:val="24"/>
                <w:lang w:val="en-SG"/>
              </w:rPr>
              <m:t>A</m:t>
            </m:r>
            <m:r>
              <w:rPr>
                <w:rFonts w:ascii="Cambria Math" w:hAnsi="Cambria Math" w:cs="Times New Roman"/>
                <w:kern w:val="0"/>
                <w:sz w:val="24"/>
                <w:szCs w:val="24"/>
                <w:lang w:val="en-SG"/>
              </w:rPr>
              <m:t>×∆</m:t>
            </m:r>
            <m:r>
              <w:rPr>
                <w:rFonts w:ascii="Cambria Math" w:hAnsi="Cambria Math" w:cs="Times New Roman"/>
                <w:kern w:val="0"/>
                <w:sz w:val="24"/>
                <w:szCs w:val="24"/>
                <w:lang w:val="en-SG"/>
              </w:rPr>
              <m:t>T</m:t>
            </m:r>
          </m:den>
        </m:f>
      </m:oMath>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t>(S4)</w:t>
      </w:r>
    </w:p>
    <w:p w14:paraId="45700D29" w14:textId="77777777" w:rsidR="0052323F" w:rsidRPr="00FD62DD" w:rsidRDefault="00981750" w:rsidP="00107037">
      <w:pPr>
        <w:widowControl/>
        <w:shd w:val="clear" w:color="auto" w:fill="FFFFFF"/>
        <w:spacing w:before="120" w:after="120" w:line="240" w:lineRule="auto"/>
        <w:ind w:firstLineChars="0" w:firstLine="0"/>
        <w:rPr>
          <w:rFonts w:cs="Times New Roman"/>
          <w:kern w:val="0"/>
          <w:sz w:val="24"/>
          <w:szCs w:val="24"/>
          <w:lang w:val="en-SG"/>
        </w:rPr>
      </w:pPr>
      <w:bookmarkStart w:id="17" w:name="OLE_LINK31"/>
      <w:r w:rsidRPr="00FD62DD">
        <w:rPr>
          <w:rFonts w:cs="Times New Roman"/>
          <w:kern w:val="0"/>
          <w:sz w:val="24"/>
          <w:szCs w:val="24"/>
          <w:lang w:val="en-SG"/>
        </w:rPr>
        <w:t xml:space="preserve">where Q is the applied heat flux, L is </w:t>
      </w:r>
      <w:r w:rsidRPr="00FD62DD">
        <w:rPr>
          <w:rFonts w:cs="Times New Roman"/>
          <w:kern w:val="0"/>
          <w:sz w:val="24"/>
          <w:szCs w:val="24"/>
          <w:lang w:val="en-SG"/>
        </w:rPr>
        <w:t xml:space="preserve">the thickness of the hydrogel sample, A is the cross-sectional area, and ΔT is the temperature difference across the sample. Calculations reveal that the PAM </w:t>
      </w:r>
      <w:r w:rsidRPr="00FD62DD">
        <w:rPr>
          <w:rFonts w:cs="Times New Roman"/>
          <w:kern w:val="0"/>
          <w:sz w:val="24"/>
          <w:szCs w:val="24"/>
          <w:lang w:val="en-SG"/>
        </w:rPr>
        <w:lastRenderedPageBreak/>
        <w:t>hydrogel exhibits a thermal conductivity of 0.52 W m⁻¹ K⁻¹, which is favourable for maintaining th</w:t>
      </w:r>
      <w:r w:rsidRPr="00FD62DD">
        <w:rPr>
          <w:rFonts w:cs="Times New Roman"/>
          <w:kern w:val="0"/>
          <w:sz w:val="24"/>
          <w:szCs w:val="24"/>
          <w:lang w:val="en-SG"/>
        </w:rPr>
        <w:t>e necessary temperature gradient across the device.</w:t>
      </w:r>
      <w:bookmarkEnd w:id="17"/>
    </w:p>
    <w:p w14:paraId="76B5C3E8" w14:textId="77777777" w:rsidR="0052323F" w:rsidRPr="00FD62DD" w:rsidRDefault="00981750" w:rsidP="00107037">
      <w:pPr>
        <w:widowControl/>
        <w:shd w:val="clear" w:color="auto" w:fill="FFFFFF"/>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The ionic conductivity (σ) is tested by sandwiching the hydrogel electrolytes between two stainless teel plates to form a coin-type cell on the Biologic VMP-300 workstation. After obtaining the correspond</w:t>
      </w:r>
      <w:r w:rsidRPr="00FD62DD">
        <w:rPr>
          <w:rFonts w:cs="Times New Roman"/>
          <w:kern w:val="0"/>
          <w:sz w:val="24"/>
          <w:szCs w:val="24"/>
          <w:lang w:val="en-SG"/>
        </w:rPr>
        <w:t>ing impedance value, it is further calculated by using Eq. S5.</w:t>
      </w:r>
    </w:p>
    <w:p w14:paraId="362993EB" w14:textId="77777777" w:rsidR="0052323F" w:rsidRPr="00FD62DD" w:rsidRDefault="00981750" w:rsidP="00107037">
      <w:pPr>
        <w:widowControl/>
        <w:shd w:val="clear" w:color="auto" w:fill="FFFFFF"/>
        <w:spacing w:before="120" w:after="120" w:line="240" w:lineRule="auto"/>
        <w:ind w:firstLineChars="41" w:firstLine="98"/>
        <w:rPr>
          <w:rFonts w:cs="Times New Roman"/>
          <w:kern w:val="0"/>
          <w:sz w:val="24"/>
          <w:szCs w:val="24"/>
          <w:lang w:val="en-SG"/>
        </w:rPr>
      </w:pPr>
      <m:oMath>
        <m:r>
          <w:rPr>
            <w:rFonts w:ascii="Cambria Math" w:hAnsi="Cambria Math" w:cs="Times New Roman"/>
            <w:kern w:val="0"/>
            <w:sz w:val="24"/>
            <w:szCs w:val="24"/>
            <w:lang w:val="en-SG"/>
          </w:rPr>
          <m:t>σ</m:t>
        </m:r>
        <m:r>
          <w:rPr>
            <w:rFonts w:ascii="Cambria Math" w:hAnsi="Cambria Math" w:cs="Times New Roman"/>
            <w:kern w:val="0"/>
            <w:sz w:val="24"/>
            <w:szCs w:val="24"/>
            <w:lang w:val="en-SG"/>
          </w:rPr>
          <m:t>=</m:t>
        </m:r>
        <m:f>
          <m:fPr>
            <m:ctrlPr>
              <w:rPr>
                <w:rFonts w:ascii="Cambria Math" w:hAnsi="Cambria Math" w:cs="Times New Roman"/>
                <w:i/>
                <w:kern w:val="0"/>
                <w:sz w:val="24"/>
                <w:szCs w:val="24"/>
                <w:lang w:val="en-SG"/>
              </w:rPr>
            </m:ctrlPr>
          </m:fPr>
          <m:num>
            <m:r>
              <w:rPr>
                <w:rFonts w:ascii="Cambria Math" w:hAnsi="Cambria Math" w:cs="Times New Roman"/>
                <w:kern w:val="0"/>
                <w:sz w:val="24"/>
                <w:szCs w:val="24"/>
                <w:lang w:val="en-SG"/>
              </w:rPr>
              <m:t>d</m:t>
            </m:r>
          </m:num>
          <m:den>
            <m:r>
              <w:rPr>
                <w:rFonts w:ascii="Cambria Math" w:hAnsi="Cambria Math" w:cs="Times New Roman"/>
                <w:kern w:val="0"/>
                <w:sz w:val="24"/>
                <w:szCs w:val="24"/>
                <w:lang w:val="en-SG"/>
              </w:rPr>
              <m:t>R</m:t>
            </m:r>
            <m:r>
              <w:rPr>
                <w:rFonts w:ascii="Cambria Math" w:hAnsi="Cambria Math" w:cs="Times New Roman"/>
                <w:kern w:val="0"/>
                <w:sz w:val="24"/>
                <w:szCs w:val="24"/>
                <w:lang w:val="en-SG"/>
              </w:rPr>
              <m:t>×</m:t>
            </m:r>
            <m:r>
              <w:rPr>
                <w:rFonts w:ascii="Cambria Math" w:hAnsi="Cambria Math" w:cs="Times New Roman"/>
                <w:kern w:val="0"/>
                <w:sz w:val="24"/>
                <w:szCs w:val="24"/>
                <w:lang w:val="en-SG"/>
              </w:rPr>
              <m:t>S</m:t>
            </m:r>
          </m:den>
        </m:f>
      </m:oMath>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r>
      <w:r w:rsidRPr="00FD62DD">
        <w:rPr>
          <w:rFonts w:cs="Times New Roman"/>
          <w:kern w:val="0"/>
          <w:sz w:val="24"/>
          <w:szCs w:val="24"/>
          <w:lang w:val="en-SG"/>
        </w:rPr>
        <w:tab/>
        <w:t>(S5)</w:t>
      </w:r>
    </w:p>
    <w:p w14:paraId="741C62ED" w14:textId="77777777" w:rsidR="0052323F" w:rsidRPr="00FD62DD" w:rsidRDefault="00981750" w:rsidP="00107037">
      <w:pPr>
        <w:widowControl/>
        <w:shd w:val="clear" w:color="auto" w:fill="FFFFFF"/>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The d and S represent the thickness and area of hydrogel electrolyte, and R refers to the ionic impedance (Fig. S24). Calculations reveal that the ionic conduc</w:t>
      </w:r>
      <w:r w:rsidRPr="00FD62DD">
        <w:rPr>
          <w:rFonts w:cs="Times New Roman"/>
          <w:kern w:val="0"/>
          <w:sz w:val="24"/>
          <w:szCs w:val="24"/>
          <w:lang w:val="en-SG"/>
        </w:rPr>
        <w:t xml:space="preserve">tivity of PAM hydrogel </w:t>
      </w:r>
      <w:r w:rsidRPr="00FD62DD">
        <w:rPr>
          <w:rFonts w:cs="Times New Roman" w:hint="eastAsia"/>
          <w:kern w:val="0"/>
          <w:sz w:val="24"/>
          <w:szCs w:val="24"/>
          <w:lang w:val="en-SG"/>
        </w:rPr>
        <w:t>is</w:t>
      </w:r>
      <w:r w:rsidRPr="00FD62DD">
        <w:rPr>
          <w:rFonts w:cs="Times New Roman"/>
          <w:kern w:val="0"/>
          <w:sz w:val="24"/>
          <w:szCs w:val="24"/>
          <w:lang w:val="en-SG"/>
        </w:rPr>
        <w:t xml:space="preserve"> 22.3 </w:t>
      </w:r>
      <w:r w:rsidRPr="00FD62DD">
        <w:rPr>
          <w:rFonts w:cs="Times New Roman" w:hint="eastAsia"/>
          <w:kern w:val="0"/>
          <w:sz w:val="24"/>
          <w:szCs w:val="24"/>
          <w:lang w:val="en-SG"/>
        </w:rPr>
        <w:t>m</w:t>
      </w:r>
      <w:r w:rsidRPr="00FD62DD">
        <w:rPr>
          <w:rFonts w:cs="Times New Roman"/>
          <w:kern w:val="0"/>
          <w:sz w:val="24"/>
          <w:szCs w:val="24"/>
          <w:lang w:val="en-SG"/>
        </w:rPr>
        <w:t>S cm</w:t>
      </w:r>
      <w:r w:rsidRPr="00FD62DD">
        <w:rPr>
          <w:rFonts w:cs="Times New Roman"/>
          <w:kern w:val="0"/>
          <w:sz w:val="24"/>
          <w:szCs w:val="24"/>
          <w:vertAlign w:val="superscript"/>
          <w:lang w:val="en-SG"/>
        </w:rPr>
        <w:t>–1</w:t>
      </w:r>
      <w:r w:rsidRPr="00FD62DD">
        <w:rPr>
          <w:rFonts w:cs="Times New Roman"/>
          <w:kern w:val="0"/>
          <w:sz w:val="24"/>
          <w:szCs w:val="24"/>
          <w:lang w:val="en-SG"/>
        </w:rPr>
        <w:t xml:space="preserve"> at room temperature, ensuring efficient ion transport.</w:t>
      </w:r>
    </w:p>
    <w:p w14:paraId="000C2606" w14:textId="77777777" w:rsidR="0052323F" w:rsidRPr="00FD62DD" w:rsidRDefault="00981750" w:rsidP="00107037">
      <w:pPr>
        <w:spacing w:before="120" w:after="120" w:line="240" w:lineRule="auto"/>
        <w:ind w:firstLineChars="0" w:firstLine="0"/>
        <w:rPr>
          <w:rFonts w:cs="Times New Roman"/>
          <w:kern w:val="0"/>
          <w:sz w:val="24"/>
          <w:szCs w:val="24"/>
          <w:lang w:val="en-SG"/>
        </w:rPr>
      </w:pPr>
      <w:r w:rsidRPr="00FD62DD">
        <w:rPr>
          <w:rFonts w:cs="Times New Roman"/>
          <w:kern w:val="0"/>
          <w:sz w:val="24"/>
          <w:szCs w:val="24"/>
          <w:lang w:val="en-SG"/>
        </w:rPr>
        <w:t>Furthermore, Fig. S25 demonstrates that the hydrogel possesses good elasticity and can withstand repeated deformation, which is crucial for the durability of flex</w:t>
      </w:r>
      <w:r w:rsidRPr="00FD62DD">
        <w:rPr>
          <w:rFonts w:cs="Times New Roman"/>
          <w:kern w:val="0"/>
          <w:sz w:val="24"/>
          <w:szCs w:val="24"/>
          <w:lang w:val="en-SG"/>
        </w:rPr>
        <w:t>ible devices.</w:t>
      </w:r>
    </w:p>
    <w:p w14:paraId="65EA362D" w14:textId="77777777" w:rsidR="0052323F" w:rsidRPr="00FD62DD" w:rsidRDefault="00981750" w:rsidP="00107037">
      <w:pPr>
        <w:spacing w:before="120" w:after="120" w:line="240" w:lineRule="auto"/>
        <w:ind w:firstLineChars="0" w:firstLine="0"/>
        <w:jc w:val="center"/>
        <w:rPr>
          <w:rFonts w:eastAsiaTheme="minorEastAsia"/>
          <w:b/>
          <w:bCs/>
        </w:rPr>
      </w:pPr>
      <w:r w:rsidRPr="00FD62DD">
        <w:rPr>
          <w:noProof/>
        </w:rPr>
        <w:drawing>
          <wp:inline distT="0" distB="0" distL="0" distR="0" wp14:anchorId="583D0B02" wp14:editId="38DC3C32">
            <wp:extent cx="5316855" cy="436943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33" cstate="print">
                      <a:extLst>
                        <a:ext uri="{28A0092B-C50C-407E-A947-70E740481C1C}">
                          <a14:useLocalDpi xmlns:a14="http://schemas.microsoft.com/office/drawing/2010/main" val="0"/>
                        </a:ext>
                      </a:extLst>
                    </a:blip>
                    <a:srcRect l="3797" r="5776"/>
                    <a:stretch>
                      <a:fillRect/>
                    </a:stretch>
                  </pic:blipFill>
                  <pic:spPr>
                    <a:xfrm>
                      <a:off x="0" y="0"/>
                      <a:ext cx="5324446" cy="4376021"/>
                    </a:xfrm>
                    <a:prstGeom prst="rect">
                      <a:avLst/>
                    </a:prstGeom>
                    <a:noFill/>
                    <a:ln>
                      <a:noFill/>
                    </a:ln>
                  </pic:spPr>
                </pic:pic>
              </a:graphicData>
            </a:graphic>
          </wp:inline>
        </w:drawing>
      </w:r>
    </w:p>
    <w:p w14:paraId="652D4445" w14:textId="2D9BB16B" w:rsidR="0052323F" w:rsidRPr="00FD62DD" w:rsidRDefault="00981750" w:rsidP="00107037">
      <w:pPr>
        <w:spacing w:before="120" w:after="120" w:line="240" w:lineRule="auto"/>
        <w:ind w:firstLineChars="0" w:firstLine="0"/>
        <w:rPr>
          <w:sz w:val="24"/>
          <w:szCs w:val="24"/>
        </w:rPr>
      </w:pPr>
      <w:r w:rsidRPr="006267D3">
        <w:rPr>
          <w:b/>
          <w:bCs/>
          <w:sz w:val="24"/>
          <w:szCs w:val="24"/>
        </w:rPr>
        <w:t xml:space="preserve">Fig. S26 </w:t>
      </w:r>
      <w:r w:rsidRPr="00FD62DD">
        <w:rPr>
          <w:sz w:val="24"/>
          <w:szCs w:val="24"/>
        </w:rPr>
        <w:t>(</w:t>
      </w:r>
      <w:r w:rsidRPr="006267D3">
        <w:rPr>
          <w:b/>
          <w:bCs/>
          <w:sz w:val="24"/>
          <w:szCs w:val="24"/>
        </w:rPr>
        <w:t>a</w:t>
      </w:r>
      <w:r w:rsidRPr="00FD62DD">
        <w:rPr>
          <w:sz w:val="24"/>
          <w:szCs w:val="24"/>
        </w:rPr>
        <w:t>) GCD curves of HIB at different current densities. (</w:t>
      </w:r>
      <w:r w:rsidRPr="006267D3">
        <w:rPr>
          <w:b/>
          <w:bCs/>
          <w:sz w:val="24"/>
          <w:szCs w:val="24"/>
        </w:rPr>
        <w:t>b</w:t>
      </w:r>
      <w:r w:rsidRPr="00FD62DD">
        <w:rPr>
          <w:sz w:val="24"/>
          <w:szCs w:val="24"/>
        </w:rPr>
        <w:t>) Rate performance of HIB. (</w:t>
      </w:r>
      <w:r w:rsidRPr="006267D3">
        <w:rPr>
          <w:b/>
          <w:bCs/>
          <w:sz w:val="24"/>
          <w:szCs w:val="24"/>
        </w:rPr>
        <w:t>c</w:t>
      </w:r>
      <w:r w:rsidRPr="00FD62DD">
        <w:rPr>
          <w:sz w:val="24"/>
          <w:szCs w:val="24"/>
        </w:rPr>
        <w:t>) Cycling stability performance of HIB at 10 A g</w:t>
      </w:r>
      <w:r w:rsidRPr="00FD62DD">
        <w:rPr>
          <w:sz w:val="24"/>
          <w:szCs w:val="24"/>
          <w:vertAlign w:val="superscript"/>
        </w:rPr>
        <w:t>−1</w:t>
      </w:r>
    </w:p>
    <w:p w14:paraId="14A108CD" w14:textId="77777777" w:rsidR="0052323F" w:rsidRPr="00FD62DD" w:rsidRDefault="0052323F" w:rsidP="00107037">
      <w:pPr>
        <w:spacing w:before="120" w:after="120" w:line="240" w:lineRule="auto"/>
        <w:ind w:firstLineChars="0" w:firstLine="0"/>
        <w:rPr>
          <w:sz w:val="24"/>
          <w:szCs w:val="24"/>
        </w:rPr>
      </w:pPr>
    </w:p>
    <w:p w14:paraId="00DB4C03" w14:textId="77777777" w:rsidR="0052323F" w:rsidRPr="00FD62DD" w:rsidRDefault="00981750" w:rsidP="00107037">
      <w:pPr>
        <w:spacing w:before="120" w:after="120" w:line="240" w:lineRule="auto"/>
        <w:ind w:firstLineChars="0" w:firstLine="0"/>
        <w:rPr>
          <w:sz w:val="24"/>
          <w:szCs w:val="24"/>
        </w:rPr>
      </w:pPr>
      <w:r w:rsidRPr="00FD62DD">
        <w:rPr>
          <w:sz w:val="24"/>
          <w:szCs w:val="24"/>
          <w:shd w:val="clear" w:color="auto" w:fill="FFFFFF"/>
        </w:rPr>
        <w:lastRenderedPageBreak/>
        <w:t xml:space="preserve">To assess the energy storage capacity of the constructed hybrid ion system, </w:t>
      </w:r>
      <w:r w:rsidRPr="00FD62DD">
        <w:rPr>
          <w:sz w:val="24"/>
          <w:szCs w:val="24"/>
          <w:shd w:val="clear" w:color="auto" w:fill="FFFFFF"/>
        </w:rPr>
        <w:t>coin-type Zn</w:t>
      </w:r>
      <w:r w:rsidRPr="00FD62DD">
        <w:rPr>
          <w:sz w:val="24"/>
          <w:szCs w:val="24"/>
          <w:shd w:val="clear" w:color="auto" w:fill="FFFFFF"/>
          <w:vertAlign w:val="superscript"/>
        </w:rPr>
        <w:t>2+</w:t>
      </w:r>
      <w:r w:rsidRPr="00FD62DD">
        <w:rPr>
          <w:sz w:val="24"/>
          <w:szCs w:val="24"/>
          <w:shd w:val="clear" w:color="auto" w:fill="FFFFFF"/>
        </w:rPr>
        <w:t>/NH</w:t>
      </w:r>
      <w:r w:rsidRPr="00FD62DD">
        <w:rPr>
          <w:sz w:val="24"/>
          <w:szCs w:val="24"/>
          <w:shd w:val="clear" w:color="auto" w:fill="FFFFFF"/>
          <w:vertAlign w:val="subscript"/>
        </w:rPr>
        <w:t>4</w:t>
      </w:r>
      <w:r w:rsidRPr="00FD62DD">
        <w:rPr>
          <w:sz w:val="24"/>
          <w:szCs w:val="24"/>
          <w:shd w:val="clear" w:color="auto" w:fill="FFFFFF"/>
          <w:vertAlign w:val="superscript"/>
        </w:rPr>
        <w:t>+</w:t>
      </w:r>
      <w:r w:rsidRPr="00FD62DD">
        <w:rPr>
          <w:sz w:val="24"/>
          <w:szCs w:val="24"/>
          <w:shd w:val="clear" w:color="auto" w:fill="FFFFFF"/>
        </w:rPr>
        <w:t xml:space="preserve"> hybrid-ion batteries (HIBs) were reasonably constructed.</w:t>
      </w:r>
      <w:r w:rsidRPr="00FD62DD">
        <w:rPr>
          <w:sz w:val="24"/>
          <w:szCs w:val="24"/>
        </w:rPr>
        <w:t xml:space="preserve"> As shown in Fig. S26a and b, the HIB exhibits excellent rate capability, in which 495.3, 442.2, 404.1, 353.4, 355.6, 284.6, 235.8, and 174.2 mAh g</w:t>
      </w:r>
      <w:r w:rsidRPr="00FD62DD">
        <w:rPr>
          <w:sz w:val="24"/>
          <w:szCs w:val="24"/>
          <w:vertAlign w:val="superscript"/>
        </w:rPr>
        <w:t>−1</w:t>
      </w:r>
      <w:r w:rsidRPr="00FD62DD">
        <w:rPr>
          <w:sz w:val="24"/>
          <w:szCs w:val="24"/>
        </w:rPr>
        <w:t xml:space="preserve"> can be recorded at 0.1, 0.2, 0.5, 1, 2, 5, 10, and 20 A g</w:t>
      </w:r>
      <w:r w:rsidRPr="00FD62DD">
        <w:rPr>
          <w:sz w:val="24"/>
          <w:szCs w:val="24"/>
          <w:vertAlign w:val="superscript"/>
        </w:rPr>
        <w:t>−1</w:t>
      </w:r>
      <w:r w:rsidRPr="00FD62DD">
        <w:rPr>
          <w:sz w:val="24"/>
          <w:szCs w:val="24"/>
        </w:rPr>
        <w:t>, respectively. Especially under the high curre</w:t>
      </w:r>
      <w:r w:rsidRPr="00FD62DD">
        <w:rPr>
          <w:sz w:val="24"/>
          <w:szCs w:val="24"/>
        </w:rPr>
        <w:t>nt density of 20 A g</w:t>
      </w:r>
      <w:r w:rsidRPr="00FD62DD">
        <w:rPr>
          <w:sz w:val="24"/>
          <w:szCs w:val="24"/>
          <w:vertAlign w:val="superscript"/>
        </w:rPr>
        <w:t>−1</w:t>
      </w:r>
      <w:r w:rsidRPr="00FD62DD">
        <w:rPr>
          <w:sz w:val="24"/>
          <w:szCs w:val="24"/>
        </w:rPr>
        <w:t>, the HIB can maintain GCD curve shapes similar to those at low current densities, which further demonstrates excellent electrochemical reversibility. Notably, when the current density returned to the initial 0.1 A g</w:t>
      </w:r>
      <w:r w:rsidRPr="00FD62DD">
        <w:rPr>
          <w:sz w:val="24"/>
          <w:szCs w:val="24"/>
          <w:vertAlign w:val="superscript"/>
        </w:rPr>
        <w:t>−1</w:t>
      </w:r>
      <w:r w:rsidRPr="00FD62DD">
        <w:rPr>
          <w:sz w:val="24"/>
          <w:szCs w:val="24"/>
        </w:rPr>
        <w:t>, the specific c</w:t>
      </w:r>
      <w:r w:rsidRPr="00FD62DD">
        <w:rPr>
          <w:sz w:val="24"/>
          <w:szCs w:val="24"/>
        </w:rPr>
        <w:t>apacity recovered to 452.5 mAh g</w:t>
      </w:r>
      <w:r w:rsidRPr="00FD62DD">
        <w:rPr>
          <w:sz w:val="24"/>
          <w:szCs w:val="24"/>
          <w:vertAlign w:val="superscript"/>
        </w:rPr>
        <w:t>−1</w:t>
      </w:r>
      <w:r w:rsidRPr="00FD62DD">
        <w:rPr>
          <w:sz w:val="24"/>
          <w:szCs w:val="24"/>
        </w:rPr>
        <w:t xml:space="preserve">, achieving a retention rate of 91.2%. </w:t>
      </w:r>
      <w:r w:rsidRPr="00FD62DD">
        <w:rPr>
          <w:sz w:val="24"/>
          <w:szCs w:val="24"/>
          <w:shd w:val="clear" w:color="auto" w:fill="FFFFFF"/>
        </w:rPr>
        <w:t>As depicted in Fig. S26c, even at a high current density of 10 A g</w:t>
      </w:r>
      <w:r w:rsidRPr="00FD62DD">
        <w:rPr>
          <w:sz w:val="24"/>
          <w:szCs w:val="24"/>
          <w:vertAlign w:val="superscript"/>
        </w:rPr>
        <w:t>−1</w:t>
      </w:r>
      <w:r w:rsidRPr="00FD62DD">
        <w:rPr>
          <w:sz w:val="24"/>
          <w:szCs w:val="24"/>
          <w:shd w:val="clear" w:color="auto" w:fill="FFFFFF"/>
        </w:rPr>
        <w:t>, the HIB demonstrates remarkable stability. It retains a specific capacity of 192 mA h g</w:t>
      </w:r>
      <w:r w:rsidRPr="00FD62DD">
        <w:rPr>
          <w:sz w:val="24"/>
          <w:szCs w:val="24"/>
          <w:vertAlign w:val="superscript"/>
        </w:rPr>
        <w:t>−1</w:t>
      </w:r>
      <w:r w:rsidRPr="00FD62DD">
        <w:rPr>
          <w:sz w:val="24"/>
          <w:szCs w:val="24"/>
          <w:shd w:val="clear" w:color="auto" w:fill="FFFFFF"/>
        </w:rPr>
        <w:t xml:space="preserve"> over 5000 cycles, with </w:t>
      </w:r>
      <w:r w:rsidRPr="00FD62DD">
        <w:rPr>
          <w:sz w:val="24"/>
          <w:szCs w:val="24"/>
          <w:shd w:val="clear" w:color="auto" w:fill="FFFFFF"/>
        </w:rPr>
        <w:t>an 80% capacity retention rate, and maintains a Coulombic efficiency of 100% throughout.</w:t>
      </w:r>
    </w:p>
    <w:p w14:paraId="152EFBEE" w14:textId="48F221EC" w:rsidR="0052323F" w:rsidRPr="00FD62DD" w:rsidRDefault="00981750" w:rsidP="00107037">
      <w:pPr>
        <w:spacing w:before="120" w:after="120" w:line="240" w:lineRule="auto"/>
        <w:ind w:firstLineChars="0" w:firstLine="0"/>
        <w:rPr>
          <w:sz w:val="24"/>
          <w:szCs w:val="24"/>
        </w:rPr>
      </w:pPr>
      <w:r w:rsidRPr="00FD62DD">
        <w:rPr>
          <w:rFonts w:eastAsiaTheme="minorEastAsia" w:hint="eastAsia"/>
          <w:b/>
          <w:bCs/>
          <w:sz w:val="24"/>
          <w:szCs w:val="24"/>
        </w:rPr>
        <w:t>T</w:t>
      </w:r>
      <w:r w:rsidRPr="00FD62DD">
        <w:rPr>
          <w:rFonts w:eastAsiaTheme="minorEastAsia"/>
          <w:b/>
          <w:bCs/>
          <w:sz w:val="24"/>
          <w:szCs w:val="24"/>
        </w:rPr>
        <w:t xml:space="preserve">able S1 </w:t>
      </w:r>
      <w:r w:rsidRPr="00FD62DD">
        <w:rPr>
          <w:rFonts w:eastAsiaTheme="minorEastAsia"/>
          <w:sz w:val="24"/>
          <w:szCs w:val="24"/>
        </w:rPr>
        <w:t xml:space="preserve">Parameters for </w:t>
      </w:r>
      <w:r w:rsidRPr="00FD62DD">
        <w:rPr>
          <w:sz w:val="24"/>
          <w:szCs w:val="24"/>
        </w:rPr>
        <w:t>energy conversion efficiency</w:t>
      </w:r>
      <w:r w:rsidRPr="00FD62DD">
        <w:rPr>
          <w:rFonts w:eastAsiaTheme="minorEastAsia"/>
          <w:sz w:val="24"/>
          <w:szCs w:val="24"/>
        </w:rPr>
        <w:t xml:space="preserve"> calculation of </w:t>
      </w:r>
      <w:r w:rsidRPr="00FD62DD">
        <w:rPr>
          <w:sz w:val="24"/>
          <w:szCs w:val="24"/>
        </w:rPr>
        <w:t>three thermal charging cells</w:t>
      </w: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5"/>
        <w:gridCol w:w="1169"/>
        <w:gridCol w:w="1004"/>
        <w:gridCol w:w="1004"/>
      </w:tblGrid>
      <w:tr w:rsidR="00FD62DD" w:rsidRPr="006267D3" w14:paraId="2C4D47E1" w14:textId="77777777" w:rsidTr="006267D3">
        <w:trPr>
          <w:trHeight w:val="397"/>
          <w:jc w:val="center"/>
        </w:trPr>
        <w:tc>
          <w:tcPr>
            <w:tcW w:w="0" w:type="auto"/>
            <w:tcBorders>
              <w:top w:val="single" w:sz="12" w:space="0" w:color="auto"/>
              <w:bottom w:val="single" w:sz="4" w:space="0" w:color="auto"/>
            </w:tcBorders>
            <w:vAlign w:val="center"/>
          </w:tcPr>
          <w:p w14:paraId="468389F1" w14:textId="77777777" w:rsidR="0052323F" w:rsidRPr="006267D3" w:rsidRDefault="0052323F" w:rsidP="006267D3">
            <w:pPr>
              <w:spacing w:line="240" w:lineRule="auto"/>
              <w:ind w:firstLineChars="0" w:firstLine="0"/>
              <w:rPr>
                <w:rFonts w:cs="Times New Roman"/>
                <w:bCs/>
                <w:kern w:val="0"/>
              </w:rPr>
            </w:pPr>
          </w:p>
        </w:tc>
        <w:tc>
          <w:tcPr>
            <w:tcW w:w="0" w:type="auto"/>
            <w:tcBorders>
              <w:top w:val="single" w:sz="12" w:space="0" w:color="auto"/>
              <w:bottom w:val="single" w:sz="4" w:space="0" w:color="auto"/>
            </w:tcBorders>
            <w:vAlign w:val="center"/>
          </w:tcPr>
          <w:p w14:paraId="3F4FAA08"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NH</w:t>
            </w:r>
            <w:r w:rsidRPr="006267D3">
              <w:rPr>
                <w:rFonts w:cs="Times New Roman"/>
                <w:bCs/>
                <w:kern w:val="0"/>
                <w:vertAlign w:val="subscript"/>
              </w:rPr>
              <w:t>4</w:t>
            </w:r>
            <w:r w:rsidRPr="006267D3">
              <w:rPr>
                <w:rFonts w:cs="Times New Roman"/>
                <w:bCs/>
                <w:kern w:val="0"/>
                <w:vertAlign w:val="superscript"/>
              </w:rPr>
              <w:t>+</w:t>
            </w:r>
            <w:r w:rsidRPr="006267D3">
              <w:rPr>
                <w:rFonts w:cs="Times New Roman"/>
                <w:bCs/>
                <w:kern w:val="0"/>
              </w:rPr>
              <w:t>+Zn</w:t>
            </w:r>
            <w:r w:rsidRPr="006267D3">
              <w:rPr>
                <w:rFonts w:cs="Times New Roman"/>
                <w:bCs/>
                <w:kern w:val="0"/>
                <w:vertAlign w:val="superscript"/>
              </w:rPr>
              <w:t>2+</w:t>
            </w:r>
          </w:p>
        </w:tc>
        <w:tc>
          <w:tcPr>
            <w:tcW w:w="0" w:type="auto"/>
            <w:tcBorders>
              <w:top w:val="single" w:sz="12" w:space="0" w:color="auto"/>
              <w:bottom w:val="single" w:sz="4" w:space="0" w:color="auto"/>
            </w:tcBorders>
            <w:vAlign w:val="center"/>
          </w:tcPr>
          <w:p w14:paraId="6E3AD9AF"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NH</w:t>
            </w:r>
            <w:r w:rsidRPr="006267D3">
              <w:rPr>
                <w:rFonts w:cs="Times New Roman"/>
                <w:bCs/>
                <w:kern w:val="0"/>
                <w:vertAlign w:val="subscript"/>
              </w:rPr>
              <w:t>4</w:t>
            </w:r>
            <w:r w:rsidRPr="006267D3">
              <w:rPr>
                <w:rFonts w:cs="Times New Roman"/>
                <w:bCs/>
                <w:kern w:val="0"/>
                <w:vertAlign w:val="superscript"/>
              </w:rPr>
              <w:t>+</w:t>
            </w:r>
          </w:p>
        </w:tc>
        <w:tc>
          <w:tcPr>
            <w:tcW w:w="0" w:type="auto"/>
            <w:tcBorders>
              <w:top w:val="single" w:sz="12" w:space="0" w:color="auto"/>
              <w:bottom w:val="single" w:sz="4" w:space="0" w:color="auto"/>
            </w:tcBorders>
            <w:vAlign w:val="center"/>
          </w:tcPr>
          <w:p w14:paraId="62BDF42D"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Zn</w:t>
            </w:r>
            <w:r w:rsidRPr="006267D3">
              <w:rPr>
                <w:rFonts w:cs="Times New Roman"/>
                <w:bCs/>
                <w:kern w:val="0"/>
                <w:vertAlign w:val="superscript"/>
              </w:rPr>
              <w:t>2+</w:t>
            </w:r>
          </w:p>
        </w:tc>
      </w:tr>
      <w:tr w:rsidR="00FD62DD" w:rsidRPr="006267D3" w14:paraId="5000B2D9" w14:textId="77777777" w:rsidTr="006267D3">
        <w:trPr>
          <w:trHeight w:val="397"/>
          <w:jc w:val="center"/>
        </w:trPr>
        <w:tc>
          <w:tcPr>
            <w:tcW w:w="0" w:type="auto"/>
            <w:tcBorders>
              <w:top w:val="single" w:sz="4" w:space="0" w:color="auto"/>
            </w:tcBorders>
            <w:vAlign w:val="center"/>
          </w:tcPr>
          <w:p w14:paraId="2BCB3AF0" w14:textId="77777777" w:rsidR="0052323F" w:rsidRPr="006267D3" w:rsidRDefault="00981750" w:rsidP="006267D3">
            <w:pPr>
              <w:spacing w:line="240" w:lineRule="auto"/>
              <w:ind w:firstLineChars="0" w:firstLine="0"/>
              <w:rPr>
                <w:rFonts w:eastAsia="Yu Mincho" w:cs="Times New Roman"/>
                <w:bCs/>
                <w:kern w:val="0"/>
                <w:vertAlign w:val="superscript"/>
              </w:rPr>
            </w:pPr>
            <w:r w:rsidRPr="006267D3">
              <w:rPr>
                <w:rFonts w:eastAsia="微软雅黑" w:cs="Times New Roman" w:hint="eastAsia"/>
                <w:bCs/>
                <w:kern w:val="0"/>
              </w:rPr>
              <w:t>T</w:t>
            </w:r>
            <w:r w:rsidRPr="006267D3">
              <w:rPr>
                <w:rFonts w:eastAsia="微软雅黑" w:cs="Times New Roman"/>
                <w:bCs/>
                <w:kern w:val="0"/>
              </w:rPr>
              <w:t>hermopower</w:t>
            </w:r>
            <w:r w:rsidRPr="006267D3">
              <w:rPr>
                <w:rFonts w:cs="Times New Roman"/>
                <w:bCs/>
                <w:kern w:val="0"/>
              </w:rPr>
              <w:t xml:space="preserve"> / mV K</w:t>
            </w:r>
            <w:r w:rsidRPr="006267D3">
              <w:rPr>
                <w:rFonts w:cs="Times New Roman"/>
                <w:bCs/>
                <w:kern w:val="0"/>
                <w:vertAlign w:val="superscript"/>
              </w:rPr>
              <w:t>−1</w:t>
            </w:r>
          </w:p>
        </w:tc>
        <w:tc>
          <w:tcPr>
            <w:tcW w:w="0" w:type="auto"/>
            <w:tcBorders>
              <w:top w:val="single" w:sz="4" w:space="0" w:color="auto"/>
            </w:tcBorders>
            <w:vAlign w:val="center"/>
          </w:tcPr>
          <w:p w14:paraId="2EA0C582"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12.05</w:t>
            </w:r>
          </w:p>
        </w:tc>
        <w:tc>
          <w:tcPr>
            <w:tcW w:w="0" w:type="auto"/>
            <w:tcBorders>
              <w:top w:val="single" w:sz="4" w:space="0" w:color="auto"/>
            </w:tcBorders>
            <w:vAlign w:val="center"/>
          </w:tcPr>
          <w:p w14:paraId="68C5C82B"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11.1</w:t>
            </w:r>
          </w:p>
        </w:tc>
        <w:tc>
          <w:tcPr>
            <w:tcW w:w="0" w:type="auto"/>
            <w:tcBorders>
              <w:top w:val="single" w:sz="4" w:space="0" w:color="auto"/>
            </w:tcBorders>
            <w:vAlign w:val="center"/>
          </w:tcPr>
          <w:p w14:paraId="069CFF74"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8.5</w:t>
            </w:r>
          </w:p>
        </w:tc>
      </w:tr>
      <w:tr w:rsidR="00FD62DD" w:rsidRPr="006267D3" w14:paraId="483CC77B" w14:textId="77777777" w:rsidTr="006267D3">
        <w:trPr>
          <w:trHeight w:val="397"/>
          <w:jc w:val="center"/>
        </w:trPr>
        <w:tc>
          <w:tcPr>
            <w:tcW w:w="0" w:type="auto"/>
            <w:vAlign w:val="center"/>
          </w:tcPr>
          <w:p w14:paraId="45DA0107"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 xml:space="preserve">Cold </w:t>
            </w:r>
            <w:r w:rsidRPr="006267D3">
              <w:rPr>
                <w:rFonts w:cs="Times New Roman"/>
                <w:bCs/>
                <w:kern w:val="0"/>
              </w:rPr>
              <w:t>side temperature / K</w:t>
            </w:r>
          </w:p>
        </w:tc>
        <w:tc>
          <w:tcPr>
            <w:tcW w:w="0" w:type="auto"/>
            <w:vAlign w:val="center"/>
          </w:tcPr>
          <w:p w14:paraId="57664D59"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298.15</w:t>
            </w:r>
          </w:p>
        </w:tc>
        <w:tc>
          <w:tcPr>
            <w:tcW w:w="0" w:type="auto"/>
            <w:vAlign w:val="center"/>
          </w:tcPr>
          <w:p w14:paraId="0AB22714"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298.15</w:t>
            </w:r>
          </w:p>
        </w:tc>
        <w:tc>
          <w:tcPr>
            <w:tcW w:w="0" w:type="auto"/>
            <w:vAlign w:val="center"/>
          </w:tcPr>
          <w:p w14:paraId="6F91D246"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298.15</w:t>
            </w:r>
          </w:p>
        </w:tc>
      </w:tr>
      <w:tr w:rsidR="00FD62DD" w:rsidRPr="006267D3" w14:paraId="282C0F8A" w14:textId="77777777" w:rsidTr="006267D3">
        <w:trPr>
          <w:trHeight w:val="397"/>
          <w:jc w:val="center"/>
        </w:trPr>
        <w:tc>
          <w:tcPr>
            <w:tcW w:w="0" w:type="auto"/>
            <w:vAlign w:val="center"/>
          </w:tcPr>
          <w:p w14:paraId="5EBDA3DB" w14:textId="77777777" w:rsidR="0052323F" w:rsidRPr="006267D3" w:rsidRDefault="00981750" w:rsidP="006267D3">
            <w:pPr>
              <w:spacing w:line="240" w:lineRule="auto"/>
              <w:ind w:firstLineChars="0" w:firstLine="0"/>
              <w:rPr>
                <w:rFonts w:cs="Times New Roman"/>
                <w:bCs/>
                <w:kern w:val="0"/>
              </w:rPr>
            </w:pPr>
            <w:r w:rsidRPr="006267D3">
              <w:rPr>
                <w:rFonts w:eastAsia="微软雅黑" w:cs="Times New Roman"/>
                <w:bCs/>
                <w:kern w:val="0"/>
              </w:rPr>
              <w:t>Hot side temperature</w:t>
            </w:r>
            <w:r w:rsidRPr="006267D3">
              <w:rPr>
                <w:rFonts w:cs="Times New Roman"/>
                <w:bCs/>
                <w:kern w:val="0"/>
              </w:rPr>
              <w:t xml:space="preserve"> / K</w:t>
            </w:r>
          </w:p>
        </w:tc>
        <w:tc>
          <w:tcPr>
            <w:tcW w:w="0" w:type="auto"/>
            <w:vAlign w:val="center"/>
          </w:tcPr>
          <w:p w14:paraId="2C43F129"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333.15</w:t>
            </w:r>
          </w:p>
        </w:tc>
        <w:tc>
          <w:tcPr>
            <w:tcW w:w="0" w:type="auto"/>
            <w:vAlign w:val="center"/>
          </w:tcPr>
          <w:p w14:paraId="45877B40"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333.15</w:t>
            </w:r>
          </w:p>
        </w:tc>
        <w:tc>
          <w:tcPr>
            <w:tcW w:w="0" w:type="auto"/>
            <w:vAlign w:val="center"/>
          </w:tcPr>
          <w:p w14:paraId="7990196B"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333.15</w:t>
            </w:r>
          </w:p>
        </w:tc>
      </w:tr>
      <w:tr w:rsidR="00FD62DD" w:rsidRPr="006267D3" w14:paraId="6155E41D" w14:textId="77777777" w:rsidTr="006267D3">
        <w:trPr>
          <w:trHeight w:val="397"/>
          <w:jc w:val="center"/>
        </w:trPr>
        <w:tc>
          <w:tcPr>
            <w:tcW w:w="0" w:type="auto"/>
            <w:vAlign w:val="center"/>
          </w:tcPr>
          <w:p w14:paraId="3D5CE9BD"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Inter-electrode spacing / m</w:t>
            </w:r>
          </w:p>
        </w:tc>
        <w:tc>
          <w:tcPr>
            <w:tcW w:w="0" w:type="auto"/>
            <w:vAlign w:val="center"/>
          </w:tcPr>
          <w:p w14:paraId="307FD1E0"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0.07</w:t>
            </w:r>
          </w:p>
        </w:tc>
        <w:tc>
          <w:tcPr>
            <w:tcW w:w="0" w:type="auto"/>
            <w:vAlign w:val="center"/>
          </w:tcPr>
          <w:p w14:paraId="32A34C87"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0.07</w:t>
            </w:r>
          </w:p>
        </w:tc>
        <w:tc>
          <w:tcPr>
            <w:tcW w:w="0" w:type="auto"/>
            <w:vAlign w:val="center"/>
          </w:tcPr>
          <w:p w14:paraId="3DBB9BD4"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0.07</w:t>
            </w:r>
          </w:p>
        </w:tc>
      </w:tr>
      <w:tr w:rsidR="0052323F" w:rsidRPr="006267D3" w14:paraId="1687C2A9" w14:textId="77777777" w:rsidTr="006267D3">
        <w:trPr>
          <w:trHeight w:val="397"/>
          <w:jc w:val="center"/>
        </w:trPr>
        <w:tc>
          <w:tcPr>
            <w:tcW w:w="0" w:type="auto"/>
            <w:vAlign w:val="center"/>
          </w:tcPr>
          <w:p w14:paraId="371D0D0B" w14:textId="77777777" w:rsidR="0052323F" w:rsidRPr="006267D3" w:rsidRDefault="00981750" w:rsidP="006267D3">
            <w:pPr>
              <w:spacing w:line="240" w:lineRule="auto"/>
              <w:ind w:firstLineChars="0" w:firstLine="0"/>
              <w:rPr>
                <w:rFonts w:cs="Times New Roman"/>
                <w:bCs/>
                <w:kern w:val="0"/>
              </w:rPr>
            </w:pPr>
            <w:r w:rsidRPr="006267D3">
              <w:rPr>
                <w:rFonts w:eastAsia="微软雅黑" w:cs="Times New Roman"/>
                <w:bCs/>
                <w:kern w:val="0"/>
              </w:rPr>
              <w:t>Thermal conductivity</w:t>
            </w:r>
            <w:r w:rsidRPr="006267D3">
              <w:rPr>
                <w:rFonts w:cs="Times New Roman"/>
                <w:bCs/>
                <w:kern w:val="0"/>
              </w:rPr>
              <w:t xml:space="preserve"> / W m</w:t>
            </w:r>
            <w:r w:rsidRPr="006267D3">
              <w:rPr>
                <w:rFonts w:cs="Times New Roman"/>
                <w:bCs/>
                <w:kern w:val="0"/>
                <w:vertAlign w:val="superscript"/>
              </w:rPr>
              <w:t>−1</w:t>
            </w:r>
            <w:r w:rsidRPr="006267D3">
              <w:rPr>
                <w:rFonts w:cs="Times New Roman"/>
                <w:bCs/>
                <w:kern w:val="0"/>
              </w:rPr>
              <w:t xml:space="preserve"> K</w:t>
            </w:r>
            <w:r w:rsidRPr="006267D3">
              <w:rPr>
                <w:rFonts w:cs="Times New Roman"/>
                <w:bCs/>
                <w:kern w:val="0"/>
                <w:vertAlign w:val="superscript"/>
              </w:rPr>
              <w:t>−1</w:t>
            </w:r>
          </w:p>
        </w:tc>
        <w:tc>
          <w:tcPr>
            <w:tcW w:w="0" w:type="auto"/>
            <w:vAlign w:val="center"/>
          </w:tcPr>
          <w:p w14:paraId="708A3709"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0.55</w:t>
            </w:r>
          </w:p>
        </w:tc>
        <w:tc>
          <w:tcPr>
            <w:tcW w:w="0" w:type="auto"/>
            <w:vAlign w:val="center"/>
          </w:tcPr>
          <w:p w14:paraId="016E3E86"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0.55</w:t>
            </w:r>
          </w:p>
        </w:tc>
        <w:tc>
          <w:tcPr>
            <w:tcW w:w="0" w:type="auto"/>
            <w:vAlign w:val="center"/>
          </w:tcPr>
          <w:p w14:paraId="7D613DAB"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0.55</w:t>
            </w:r>
          </w:p>
        </w:tc>
      </w:tr>
      <w:tr w:rsidR="0052323F" w:rsidRPr="006267D3" w14:paraId="08156AC8" w14:textId="77777777" w:rsidTr="006267D3">
        <w:trPr>
          <w:trHeight w:val="397"/>
          <w:jc w:val="center"/>
        </w:trPr>
        <w:tc>
          <w:tcPr>
            <w:tcW w:w="0" w:type="auto"/>
            <w:vAlign w:val="center"/>
          </w:tcPr>
          <w:p w14:paraId="71437DDF" w14:textId="77777777" w:rsidR="0052323F" w:rsidRPr="006267D3" w:rsidRDefault="00981750" w:rsidP="006267D3">
            <w:pPr>
              <w:spacing w:line="240" w:lineRule="auto"/>
              <w:ind w:firstLineChars="0" w:firstLine="0"/>
              <w:rPr>
                <w:rFonts w:cs="Times New Roman"/>
                <w:bCs/>
                <w:kern w:val="0"/>
              </w:rPr>
            </w:pPr>
            <w:r w:rsidRPr="006267D3">
              <w:rPr>
                <w:rFonts w:eastAsia="微软雅黑" w:cs="Times New Roman"/>
                <w:bCs/>
                <w:kern w:val="0"/>
              </w:rPr>
              <w:t>Cross sectional area of the cell</w:t>
            </w:r>
            <w:r w:rsidRPr="006267D3">
              <w:rPr>
                <w:rFonts w:cs="Times New Roman"/>
                <w:bCs/>
                <w:kern w:val="0"/>
              </w:rPr>
              <w:t xml:space="preserve"> / m</w:t>
            </w:r>
            <w:r w:rsidRPr="006267D3">
              <w:rPr>
                <w:rFonts w:cs="Times New Roman"/>
                <w:bCs/>
                <w:kern w:val="0"/>
                <w:vertAlign w:val="superscript"/>
              </w:rPr>
              <w:t>2</w:t>
            </w:r>
          </w:p>
        </w:tc>
        <w:tc>
          <w:tcPr>
            <w:tcW w:w="0" w:type="auto"/>
            <w:vAlign w:val="center"/>
          </w:tcPr>
          <w:p w14:paraId="4540C1DB"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0.000113</w:t>
            </w:r>
          </w:p>
        </w:tc>
        <w:tc>
          <w:tcPr>
            <w:tcW w:w="0" w:type="auto"/>
            <w:vAlign w:val="center"/>
          </w:tcPr>
          <w:p w14:paraId="6059D37C"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0.000113</w:t>
            </w:r>
          </w:p>
        </w:tc>
        <w:tc>
          <w:tcPr>
            <w:tcW w:w="0" w:type="auto"/>
            <w:vAlign w:val="center"/>
          </w:tcPr>
          <w:p w14:paraId="71132F95"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0.000113</w:t>
            </w:r>
          </w:p>
        </w:tc>
      </w:tr>
      <w:tr w:rsidR="0052323F" w:rsidRPr="006267D3" w14:paraId="6AD5E7C2" w14:textId="77777777" w:rsidTr="006267D3">
        <w:trPr>
          <w:trHeight w:val="397"/>
          <w:jc w:val="center"/>
        </w:trPr>
        <w:tc>
          <w:tcPr>
            <w:tcW w:w="0" w:type="auto"/>
            <w:tcBorders>
              <w:bottom w:val="single" w:sz="12" w:space="0" w:color="auto"/>
            </w:tcBorders>
            <w:vAlign w:val="center"/>
          </w:tcPr>
          <w:p w14:paraId="38AE33AD"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Inter resistance obtained by voltage-current plot / Ω</w:t>
            </w:r>
          </w:p>
        </w:tc>
        <w:tc>
          <w:tcPr>
            <w:tcW w:w="0" w:type="auto"/>
            <w:tcBorders>
              <w:bottom w:val="single" w:sz="12" w:space="0" w:color="auto"/>
            </w:tcBorders>
            <w:vAlign w:val="center"/>
          </w:tcPr>
          <w:p w14:paraId="0E015675"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106.903</w:t>
            </w:r>
          </w:p>
        </w:tc>
        <w:tc>
          <w:tcPr>
            <w:tcW w:w="0" w:type="auto"/>
            <w:tcBorders>
              <w:bottom w:val="single" w:sz="12" w:space="0" w:color="auto"/>
            </w:tcBorders>
            <w:vAlign w:val="center"/>
          </w:tcPr>
          <w:p w14:paraId="645E7B7A"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101.137</w:t>
            </w:r>
          </w:p>
        </w:tc>
        <w:tc>
          <w:tcPr>
            <w:tcW w:w="0" w:type="auto"/>
            <w:tcBorders>
              <w:bottom w:val="single" w:sz="12" w:space="0" w:color="auto"/>
            </w:tcBorders>
            <w:vAlign w:val="center"/>
          </w:tcPr>
          <w:p w14:paraId="17B3E146" w14:textId="77777777" w:rsidR="0052323F" w:rsidRPr="006267D3" w:rsidRDefault="00981750" w:rsidP="006267D3">
            <w:pPr>
              <w:spacing w:line="240" w:lineRule="auto"/>
              <w:ind w:firstLineChars="0" w:firstLine="0"/>
              <w:rPr>
                <w:rFonts w:cs="Times New Roman"/>
                <w:bCs/>
                <w:kern w:val="0"/>
              </w:rPr>
            </w:pPr>
            <w:r w:rsidRPr="006267D3">
              <w:rPr>
                <w:rFonts w:cs="Times New Roman"/>
                <w:bCs/>
                <w:kern w:val="0"/>
              </w:rPr>
              <w:t>398.033</w:t>
            </w:r>
          </w:p>
        </w:tc>
      </w:tr>
    </w:tbl>
    <w:p w14:paraId="5DFAB4FF" w14:textId="77777777" w:rsidR="0052323F" w:rsidRDefault="0052323F" w:rsidP="006267D3">
      <w:pPr>
        <w:widowControl/>
        <w:spacing w:before="120" w:after="120" w:line="240" w:lineRule="auto"/>
        <w:ind w:firstLineChars="0" w:firstLine="0"/>
        <w:jc w:val="left"/>
        <w:rPr>
          <w:iCs/>
          <w:sz w:val="22"/>
          <w:szCs w:val="22"/>
        </w:rPr>
      </w:pPr>
    </w:p>
    <w:sectPr w:rsidR="0052323F">
      <w:headerReference w:type="even" r:id="rId34"/>
      <w:headerReference w:type="default" r:id="rId35"/>
      <w:footerReference w:type="even" r:id="rId36"/>
      <w:footerReference w:type="default" r:id="rId37"/>
      <w:headerReference w:type="first" r:id="rId38"/>
      <w:footerReference w:type="first" r:id="rId39"/>
      <w:pgSz w:w="12240" w:h="15840"/>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75528" w14:textId="77777777" w:rsidR="00981750" w:rsidRDefault="00981750">
      <w:pPr>
        <w:spacing w:line="240" w:lineRule="auto"/>
        <w:ind w:firstLine="210"/>
      </w:pPr>
      <w:r>
        <w:separator/>
      </w:r>
    </w:p>
  </w:endnote>
  <w:endnote w:type="continuationSeparator" w:id="0">
    <w:p w14:paraId="4CCBF25F" w14:textId="77777777" w:rsidR="00981750" w:rsidRDefault="00981750">
      <w:pPr>
        <w:spacing w:line="240" w:lineRule="auto"/>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00000001" w:usb1="08070000"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BF85" w14:textId="77777777" w:rsidR="0052323F" w:rsidRDefault="0052323F">
    <w:pPr>
      <w:pStyle w:val="a3"/>
      <w:ind w:firstLine="1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6D6E3" w14:textId="1FC95391" w:rsidR="0052323F" w:rsidRPr="006B0EA0" w:rsidRDefault="006B0EA0" w:rsidP="006B0EA0">
    <w:pPr>
      <w:pStyle w:val="a3"/>
      <w:ind w:firstLine="210"/>
      <w:jc w:val="center"/>
      <w:rPr>
        <w:rFonts w:eastAsiaTheme="minorEastAsia"/>
        <w:sz w:val="21"/>
        <w:szCs w:val="21"/>
      </w:rPr>
    </w:pPr>
    <w:r w:rsidRPr="006B0EA0">
      <w:rPr>
        <w:rFonts w:eastAsiaTheme="minorEastAsia" w:hint="eastAsia"/>
        <w:sz w:val="21"/>
        <w:szCs w:val="21"/>
      </w:rPr>
      <w:t>S</w:t>
    </w:r>
    <w:sdt>
      <w:sdtPr>
        <w:rPr>
          <w:sz w:val="21"/>
          <w:szCs w:val="21"/>
        </w:rPr>
        <w:id w:val="1841434395"/>
        <w:docPartObj>
          <w:docPartGallery w:val="Page Numbers (Bottom of Page)"/>
          <w:docPartUnique/>
        </w:docPartObj>
      </w:sdtPr>
      <w:sdtEndPr/>
      <w:sdtContent>
        <w:r w:rsidRPr="006B0EA0">
          <w:rPr>
            <w:sz w:val="21"/>
            <w:szCs w:val="21"/>
          </w:rPr>
          <w:fldChar w:fldCharType="begin"/>
        </w:r>
        <w:r w:rsidRPr="006B0EA0">
          <w:rPr>
            <w:sz w:val="21"/>
            <w:szCs w:val="21"/>
          </w:rPr>
          <w:instrText>PAGE   \* MERGEFORMAT</w:instrText>
        </w:r>
        <w:r w:rsidRPr="006B0EA0">
          <w:rPr>
            <w:sz w:val="21"/>
            <w:szCs w:val="21"/>
          </w:rPr>
          <w:fldChar w:fldCharType="separate"/>
        </w:r>
        <w:r w:rsidRPr="006B0EA0">
          <w:rPr>
            <w:sz w:val="21"/>
            <w:szCs w:val="21"/>
            <w:lang w:val="zh-CN"/>
          </w:rPr>
          <w:t>2</w:t>
        </w:r>
        <w:r w:rsidRPr="006B0EA0">
          <w:rPr>
            <w:sz w:val="21"/>
            <w:szCs w:val="21"/>
          </w:rPr>
          <w:fldChar w:fldCharType="end"/>
        </w:r>
        <w:r w:rsidRPr="006B0EA0">
          <w:rPr>
            <w:rFonts w:eastAsiaTheme="minorEastAsia" w:hint="eastAsia"/>
            <w:sz w:val="21"/>
            <w:szCs w:val="21"/>
          </w:rPr>
          <w:t>/S</w:t>
        </w:r>
        <w:r w:rsidR="006267D3">
          <w:rPr>
            <w:rFonts w:eastAsiaTheme="minorEastAsia"/>
            <w:sz w:val="21"/>
            <w:szCs w:val="21"/>
          </w:rPr>
          <w:t>18</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46B73" w14:textId="77777777" w:rsidR="0052323F" w:rsidRDefault="0052323F">
    <w:pPr>
      <w:pStyle w:val="a3"/>
      <w:ind w:firstLine="1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35940" w14:textId="77777777" w:rsidR="00981750" w:rsidRDefault="00981750">
      <w:pPr>
        <w:ind w:firstLine="210"/>
      </w:pPr>
      <w:r>
        <w:separator/>
      </w:r>
    </w:p>
  </w:footnote>
  <w:footnote w:type="continuationSeparator" w:id="0">
    <w:p w14:paraId="5B33F933" w14:textId="77777777" w:rsidR="00981750" w:rsidRDefault="00981750">
      <w:pPr>
        <w:ind w:firstLine="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F4D9" w14:textId="77777777" w:rsidR="0052323F" w:rsidRDefault="0052323F">
    <w:pPr>
      <w:pStyle w:val="a5"/>
      <w:ind w:firstLine="1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E9569" w14:textId="05567BFE" w:rsidR="0052323F" w:rsidRPr="006B0EA0" w:rsidRDefault="00981750" w:rsidP="006B0EA0">
    <w:pPr>
      <w:ind w:firstLine="210"/>
      <w:jc w:val="center"/>
      <w:rPr>
        <w:rFonts w:eastAsiaTheme="minorEastAsia"/>
        <w:sz w:val="24"/>
        <w:szCs w:val="24"/>
      </w:rPr>
    </w:pPr>
    <w:hyperlink r:id="rId1" w:history="1">
      <w:r w:rsidR="006B0EA0" w:rsidRPr="006B0EA0">
        <w:rPr>
          <w:rStyle w:val="a9"/>
          <w:rFonts w:eastAsiaTheme="minorEastAsia" w:hint="eastAsia"/>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E3981" w14:textId="77777777" w:rsidR="0052323F" w:rsidRDefault="0052323F">
    <w:pPr>
      <w:pStyle w:val="a5"/>
      <w:ind w:firstLine="1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M2ZDBjNjBmYWViMDQ5MDZlMGRkMmI0MGFkNDRmN2MifQ=="/>
  </w:docVars>
  <w:rsids>
    <w:rsidRoot w:val="00FB0038"/>
    <w:rsid w:val="0007203C"/>
    <w:rsid w:val="000928DB"/>
    <w:rsid w:val="000D0190"/>
    <w:rsid w:val="000E5225"/>
    <w:rsid w:val="000F4056"/>
    <w:rsid w:val="00107037"/>
    <w:rsid w:val="00170D59"/>
    <w:rsid w:val="00206A0C"/>
    <w:rsid w:val="003244AA"/>
    <w:rsid w:val="0033350E"/>
    <w:rsid w:val="00356C80"/>
    <w:rsid w:val="003C02B9"/>
    <w:rsid w:val="003D0AF6"/>
    <w:rsid w:val="003D6546"/>
    <w:rsid w:val="00420500"/>
    <w:rsid w:val="0043338B"/>
    <w:rsid w:val="00476E1B"/>
    <w:rsid w:val="004F0D97"/>
    <w:rsid w:val="0052323F"/>
    <w:rsid w:val="005242BF"/>
    <w:rsid w:val="005371B9"/>
    <w:rsid w:val="0057604A"/>
    <w:rsid w:val="00592F3F"/>
    <w:rsid w:val="005944A5"/>
    <w:rsid w:val="005949F6"/>
    <w:rsid w:val="00597D37"/>
    <w:rsid w:val="005D52CA"/>
    <w:rsid w:val="006064D7"/>
    <w:rsid w:val="006267D3"/>
    <w:rsid w:val="00642F11"/>
    <w:rsid w:val="00650747"/>
    <w:rsid w:val="0066456F"/>
    <w:rsid w:val="006A69C2"/>
    <w:rsid w:val="006B0EA0"/>
    <w:rsid w:val="00710B6A"/>
    <w:rsid w:val="00722EBF"/>
    <w:rsid w:val="007E1F94"/>
    <w:rsid w:val="00804FC6"/>
    <w:rsid w:val="00824888"/>
    <w:rsid w:val="00852BD2"/>
    <w:rsid w:val="008775AD"/>
    <w:rsid w:val="00892458"/>
    <w:rsid w:val="008B4E18"/>
    <w:rsid w:val="0093050B"/>
    <w:rsid w:val="009352E4"/>
    <w:rsid w:val="009744D0"/>
    <w:rsid w:val="00981750"/>
    <w:rsid w:val="009C3860"/>
    <w:rsid w:val="00A04283"/>
    <w:rsid w:val="00A310FE"/>
    <w:rsid w:val="00A325DC"/>
    <w:rsid w:val="00A75ED4"/>
    <w:rsid w:val="00A81141"/>
    <w:rsid w:val="00AB2BE2"/>
    <w:rsid w:val="00B07F5D"/>
    <w:rsid w:val="00B51A66"/>
    <w:rsid w:val="00B51BBB"/>
    <w:rsid w:val="00BD17ED"/>
    <w:rsid w:val="00BE1848"/>
    <w:rsid w:val="00C25D3F"/>
    <w:rsid w:val="00C66D04"/>
    <w:rsid w:val="00CE3729"/>
    <w:rsid w:val="00D23463"/>
    <w:rsid w:val="00DA682E"/>
    <w:rsid w:val="00DD6B6A"/>
    <w:rsid w:val="00EA637D"/>
    <w:rsid w:val="00EE0FA6"/>
    <w:rsid w:val="00F16DD6"/>
    <w:rsid w:val="00FB0038"/>
    <w:rsid w:val="00FD62DD"/>
    <w:rsid w:val="20C501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BF3FC8"/>
  <w15:docId w15:val="{41B0859D-D722-4A29-AB48-377A5B5A2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480" w:lineRule="auto"/>
      <w:ind w:firstLineChars="100" w:firstLine="100"/>
      <w:jc w:val="both"/>
    </w:pPr>
    <w:rPr>
      <w:rFonts w:ascii="Times New Roman" w:eastAsia="Times New Roman" w:hAnsi="Times New Roman" w:cs="Segoe U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uto"/>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Pr>
      <w:b/>
      <w:bCs/>
    </w:rPr>
  </w:style>
  <w:style w:type="character" w:styleId="a9">
    <w:name w:val="Hyperlink"/>
    <w:basedOn w:val="a0"/>
    <w:uiPriority w:val="99"/>
    <w:unhideWhenUsed/>
    <w:rPr>
      <w:color w:val="0563C1" w:themeColor="hyperlink"/>
      <w:u w:val="single"/>
    </w:rPr>
  </w:style>
  <w:style w:type="character" w:customStyle="1" w:styleId="a6">
    <w:name w:val="页眉 字符"/>
    <w:basedOn w:val="a0"/>
    <w:link w:val="a5"/>
    <w:uiPriority w:val="99"/>
    <w:rPr>
      <w:rFonts w:ascii="Times New Roman" w:eastAsia="Times New Roman" w:hAnsi="Times New Roman" w:cs="Segoe UI"/>
      <w:sz w:val="18"/>
      <w:szCs w:val="18"/>
    </w:rPr>
  </w:style>
  <w:style w:type="character" w:customStyle="1" w:styleId="a4">
    <w:name w:val="页脚 字符"/>
    <w:basedOn w:val="a0"/>
    <w:link w:val="a3"/>
    <w:uiPriority w:val="99"/>
    <w:rPr>
      <w:rFonts w:ascii="Times New Roman" w:eastAsia="Times New Roman" w:hAnsi="Times New Roman" w:cs="Segoe UI"/>
      <w:sz w:val="18"/>
      <w:szCs w:val="18"/>
    </w:rPr>
  </w:style>
  <w:style w:type="paragraph" w:customStyle="1" w:styleId="Title2">
    <w:name w:val="Title2"/>
    <w:basedOn w:val="a"/>
    <w:pPr>
      <w:widowControl/>
      <w:ind w:firstLineChars="0" w:firstLine="0"/>
      <w:jc w:val="left"/>
    </w:pPr>
    <w:rPr>
      <w:rFonts w:eastAsia="MS Mincho" w:cs="Times New Roman"/>
      <w:b/>
      <w:kern w:val="0"/>
      <w:sz w:val="24"/>
      <w:szCs w:val="24"/>
      <w:lang w:eastAsia="ja-JP"/>
    </w:rPr>
  </w:style>
  <w:style w:type="paragraph" w:styleId="aa">
    <w:name w:val="List Paragraph"/>
    <w:basedOn w:val="a"/>
    <w:uiPriority w:val="34"/>
    <w:qFormat/>
    <w:pPr>
      <w:ind w:firstLineChars="200" w:firstLine="420"/>
    </w:pPr>
  </w:style>
  <w:style w:type="character" w:customStyle="1" w:styleId="1">
    <w:name w:val="未处理的提及1"/>
    <w:basedOn w:val="a0"/>
    <w:uiPriority w:val="99"/>
    <w:semiHidden/>
    <w:unhideWhenUsed/>
    <w:rPr>
      <w:color w:val="605E5C"/>
      <w:shd w:val="clear" w:color="auto" w:fill="E1DFDD"/>
    </w:rPr>
  </w:style>
  <w:style w:type="paragraph" w:customStyle="1" w:styleId="Tableofcontents">
    <w:name w:val="Table of contents"/>
    <w:basedOn w:val="a"/>
    <w:qFormat/>
    <w:pPr>
      <w:widowControl/>
      <w:spacing w:line="360" w:lineRule="auto"/>
      <w:ind w:firstLineChars="0" w:firstLine="0"/>
    </w:pPr>
    <w:rPr>
      <w:rFonts w:eastAsia="MS Mincho" w:cs="Times New Roman"/>
      <w:color w:val="404040"/>
      <w:kern w:val="0"/>
      <w:sz w:val="24"/>
      <w:szCs w:val="24"/>
      <w:lang w:eastAsia="ja-JP"/>
    </w:rPr>
  </w:style>
  <w:style w:type="paragraph" w:customStyle="1" w:styleId="ds-markdown-paragraph">
    <w:name w:val="ds-markdown-paragraph"/>
    <w:basedOn w:val="a"/>
    <w:pPr>
      <w:widowControl/>
      <w:spacing w:before="100" w:beforeAutospacing="1" w:after="100" w:afterAutospacing="1" w:line="240" w:lineRule="auto"/>
      <w:ind w:firstLineChars="0" w:firstLine="0"/>
      <w:jc w:val="left"/>
    </w:pPr>
    <w:rPr>
      <w:rFonts w:ascii="宋体" w:eastAsia="宋体" w:hAnsi="宋体" w:cs="宋体"/>
      <w:kern w:val="0"/>
      <w:sz w:val="24"/>
      <w:szCs w:val="24"/>
    </w:rPr>
  </w:style>
  <w:style w:type="character" w:styleId="ab">
    <w:name w:val="Unresolved Mention"/>
    <w:basedOn w:val="a0"/>
    <w:uiPriority w:val="99"/>
    <w:semiHidden/>
    <w:unhideWhenUsed/>
    <w:rsid w:val="006B0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image" Target="media/image19.tiff"/><Relationship Id="rId39" Type="http://schemas.openxmlformats.org/officeDocument/2006/relationships/footer" Target="footer3.xml"/><Relationship Id="rId21" Type="http://schemas.openxmlformats.org/officeDocument/2006/relationships/image" Target="media/image14.tiff"/><Relationship Id="rId34" Type="http://schemas.openxmlformats.org/officeDocument/2006/relationships/header" Target="header1.xml"/><Relationship Id="rId7" Type="http://schemas.openxmlformats.org/officeDocument/2006/relationships/hyperlink" Target="mailto:azhangxg@nuaa.edu.cn" TargetMode="External"/><Relationship Id="rId2" Type="http://schemas.openxmlformats.org/officeDocument/2006/relationships/settings" Target="settings.xml"/><Relationship Id="rId16" Type="http://schemas.openxmlformats.org/officeDocument/2006/relationships/image" Target="media/image9.tiff"/><Relationship Id="rId20" Type="http://schemas.openxmlformats.org/officeDocument/2006/relationships/image" Target="media/image13.tiff"/><Relationship Id="rId29" Type="http://schemas.openxmlformats.org/officeDocument/2006/relationships/image" Target="media/image22.tiff"/><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zhangsl@nuaa.edu.cn" TargetMode="External"/><Relationship Id="rId11" Type="http://schemas.openxmlformats.org/officeDocument/2006/relationships/image" Target="media/image4.tiff"/><Relationship Id="rId24" Type="http://schemas.openxmlformats.org/officeDocument/2006/relationships/image" Target="media/image17.tiff"/><Relationship Id="rId32" Type="http://schemas.openxmlformats.org/officeDocument/2006/relationships/image" Target="media/image25.tiff"/><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8.tiff"/><Relationship Id="rId23" Type="http://schemas.openxmlformats.org/officeDocument/2006/relationships/image" Target="media/image16.tiff"/><Relationship Id="rId28" Type="http://schemas.openxmlformats.org/officeDocument/2006/relationships/image" Target="media/image21.tiff"/><Relationship Id="rId36" Type="http://schemas.openxmlformats.org/officeDocument/2006/relationships/footer" Target="footer1.xml"/><Relationship Id="rId10" Type="http://schemas.openxmlformats.org/officeDocument/2006/relationships/image" Target="media/image3.tiff"/><Relationship Id="rId19" Type="http://schemas.openxmlformats.org/officeDocument/2006/relationships/image" Target="media/image12.tiff"/><Relationship Id="rId31" Type="http://schemas.openxmlformats.org/officeDocument/2006/relationships/image" Target="media/image24.tiff"/><Relationship Id="rId4" Type="http://schemas.openxmlformats.org/officeDocument/2006/relationships/footnotes" Target="footnotes.xml"/><Relationship Id="rId9" Type="http://schemas.openxmlformats.org/officeDocument/2006/relationships/image" Target="media/image2.tiff"/><Relationship Id="rId14" Type="http://schemas.openxmlformats.org/officeDocument/2006/relationships/image" Target="media/image7.tiff"/><Relationship Id="rId22" Type="http://schemas.openxmlformats.org/officeDocument/2006/relationships/image" Target="media/image15.tiff"/><Relationship Id="rId27" Type="http://schemas.openxmlformats.org/officeDocument/2006/relationships/image" Target="media/image20.tiff"/><Relationship Id="rId30" Type="http://schemas.openxmlformats.org/officeDocument/2006/relationships/image" Target="media/image23.tiff"/><Relationship Id="rId35" Type="http://schemas.openxmlformats.org/officeDocument/2006/relationships/header" Target="header2.xml"/><Relationship Id="rId8" Type="http://schemas.openxmlformats.org/officeDocument/2006/relationships/image" Target="media/image1.tiff"/><Relationship Id="rId3" Type="http://schemas.openxmlformats.org/officeDocument/2006/relationships/webSettings" Target="webSettings.xml"/><Relationship Id="rId12" Type="http://schemas.openxmlformats.org/officeDocument/2006/relationships/image" Target="media/image5.tiff"/><Relationship Id="rId17" Type="http://schemas.openxmlformats.org/officeDocument/2006/relationships/image" Target="media/image10.tiff"/><Relationship Id="rId25" Type="http://schemas.openxmlformats.org/officeDocument/2006/relationships/image" Target="media/image18.tiff"/><Relationship Id="rId33" Type="http://schemas.openxmlformats.org/officeDocument/2006/relationships/image" Target="media/image26.tiff"/><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18</Pages>
  <Words>2869</Words>
  <Characters>16358</Characters>
  <Application>Microsoft Office Word</Application>
  <DocSecurity>0</DocSecurity>
  <Lines>136</Lines>
  <Paragraphs>38</Paragraphs>
  <ScaleCrop>false</ScaleCrop>
  <Company/>
  <LinksUpToDate>false</LinksUpToDate>
  <CharactersWithSpaces>19189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 zhiwei</dc:creator>
  <cp:lastModifiedBy>rhe</cp:lastModifiedBy>
  <cp:revision>17</cp:revision>
  <dcterms:created xsi:type="dcterms:W3CDTF">2025-11-02T02:44:00Z</dcterms:created>
  <dcterms:modified xsi:type="dcterms:W3CDTF">2025-11-04T06:34:00Z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9cb9cf38016b6e7469217c5b759f7b83a91f5c9a5fe79d88b8662753d187d250</vt:lpwstr>
  </property>
  <property fmtid="{D5CDD505-2E9C-101B-9397-08002B2CF9AE}" pid="3" name="KSOProductBuildVer">
    <vt:lpwstr>2052-11.1.0.12165</vt:lpwstr>
  </property>
  <property fmtid="{D5CDD505-2E9C-101B-9397-08002B2CF9AE}" pid="4" name="ICV">
    <vt:lpwstr>878E39689131408380FBA55C3AD2C061</vt:lpwstr>
  </property>
</Properties>
</file>